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07" w:rsidRPr="001A7DBC" w:rsidRDefault="00282307" w:rsidP="002823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307" w:rsidRPr="00DA6B18" w:rsidRDefault="00282307" w:rsidP="002823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b/>
          <w:sz w:val="28"/>
          <w:szCs w:val="28"/>
          <w:lang w:eastAsia="ru-RU"/>
        </w:rPr>
        <w:t>ИТОГИ СОЦИАЛЬНО-ЭКОНОМИЧЕСКОГО РАЗВИТИЯ МОГИЛЕВСКОЙ ОБЛАСТИ ЗА 2015-2020гг.</w:t>
      </w:r>
    </w:p>
    <w:p w:rsidR="00282307" w:rsidRPr="00DA6B18" w:rsidRDefault="00282307" w:rsidP="002823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sz w:val="28"/>
          <w:szCs w:val="28"/>
        </w:rPr>
        <w:t xml:space="preserve">Для </w:t>
      </w:r>
      <w:r w:rsidRPr="00DA6B18">
        <w:rPr>
          <w:rFonts w:ascii="Times New Roman" w:eastAsia="Times New Roman" w:hAnsi="Times New Roman"/>
          <w:sz w:val="28"/>
          <w:szCs w:val="28"/>
        </w:rPr>
        <w:t>обеспечени</w:t>
      </w:r>
      <w:r w:rsidRPr="00DA6B18">
        <w:rPr>
          <w:rFonts w:ascii="Times New Roman" w:hAnsi="Times New Roman"/>
          <w:sz w:val="28"/>
          <w:szCs w:val="28"/>
        </w:rPr>
        <w:t>я</w:t>
      </w:r>
      <w:r w:rsidRPr="00DA6B18">
        <w:rPr>
          <w:rFonts w:ascii="Times New Roman" w:eastAsia="Times New Roman" w:hAnsi="Times New Roman"/>
          <w:sz w:val="28"/>
          <w:szCs w:val="28"/>
        </w:rPr>
        <w:t xml:space="preserve"> сбалансированности экономики</w:t>
      </w:r>
      <w:r w:rsidRPr="00DA6B18">
        <w:rPr>
          <w:rFonts w:ascii="Times New Roman" w:hAnsi="Times New Roman"/>
          <w:sz w:val="28"/>
          <w:szCs w:val="28"/>
        </w:rPr>
        <w:t xml:space="preserve"> в городах и районах Могилевской области реализуются программы социально-экономического развития на 2016–2020 гг., в соответствии с которыми разработан к</w:t>
      </w:r>
      <w:r w:rsidRPr="00DA6B18">
        <w:rPr>
          <w:rFonts w:ascii="Times New Roman" w:eastAsia="Times New Roman" w:hAnsi="Times New Roman"/>
          <w:sz w:val="28"/>
          <w:szCs w:val="28"/>
        </w:rPr>
        <w:t>омплекс мер по решению задач социально-экономического развития городов и районов, главн</w:t>
      </w:r>
      <w:r w:rsidRPr="00DA6B18">
        <w:rPr>
          <w:rFonts w:ascii="Times New Roman" w:hAnsi="Times New Roman"/>
          <w:sz w:val="28"/>
          <w:szCs w:val="28"/>
        </w:rPr>
        <w:t>ой</w:t>
      </w:r>
      <w:r w:rsidRPr="00DA6B18">
        <w:rPr>
          <w:rFonts w:ascii="Times New Roman" w:eastAsia="Times New Roman" w:hAnsi="Times New Roman"/>
          <w:sz w:val="28"/>
          <w:szCs w:val="28"/>
        </w:rPr>
        <w:t xml:space="preserve"> цель</w:t>
      </w:r>
      <w:r w:rsidRPr="00DA6B18">
        <w:rPr>
          <w:rFonts w:ascii="Times New Roman" w:hAnsi="Times New Roman"/>
          <w:sz w:val="28"/>
          <w:szCs w:val="28"/>
        </w:rPr>
        <w:t>ю</w:t>
      </w:r>
      <w:r w:rsidRPr="00DA6B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6B18">
        <w:rPr>
          <w:rFonts w:ascii="Times New Roman" w:hAnsi="Times New Roman"/>
          <w:sz w:val="28"/>
          <w:szCs w:val="28"/>
        </w:rPr>
        <w:t>которого является</w:t>
      </w:r>
      <w:r w:rsidRPr="00DA6B18">
        <w:rPr>
          <w:rFonts w:ascii="Times New Roman" w:eastAsia="Times New Roman" w:hAnsi="Times New Roman"/>
          <w:sz w:val="28"/>
          <w:szCs w:val="28"/>
        </w:rPr>
        <w:t xml:space="preserve">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</w:t>
      </w:r>
      <w:r w:rsidRPr="00DA6B18">
        <w:rPr>
          <w:rFonts w:ascii="Times New Roman" w:hAnsi="Times New Roman"/>
          <w:sz w:val="28"/>
          <w:szCs w:val="28"/>
        </w:rPr>
        <w:t>ов и районов</w:t>
      </w:r>
      <w:r w:rsidRPr="00DA6B1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Кроме этого, </w:t>
      </w:r>
      <w:proofErr w:type="spellStart"/>
      <w:r w:rsidRPr="00DA6B18">
        <w:rPr>
          <w:rFonts w:ascii="Times New Roman" w:hAnsi="Times New Roman"/>
          <w:sz w:val="28"/>
          <w:szCs w:val="28"/>
        </w:rPr>
        <w:t>горрайисполкомами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sz w:val="28"/>
          <w:szCs w:val="28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</w:t>
      </w:r>
      <w:proofErr w:type="gramEnd"/>
      <w:r w:rsidRPr="00DA6B18">
        <w:rPr>
          <w:rFonts w:ascii="Times New Roman" w:hAnsi="Times New Roman"/>
          <w:sz w:val="28"/>
          <w:szCs w:val="28"/>
        </w:rPr>
        <w:t>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sz w:val="28"/>
          <w:szCs w:val="28"/>
        </w:rPr>
        <w:t xml:space="preserve">Так, удельный вес субъектов малого и среднего предпринимательства </w:t>
      </w:r>
      <w:r w:rsidRPr="00DA6B18">
        <w:rPr>
          <w:rFonts w:ascii="Times New Roman" w:hAnsi="Times New Roman"/>
          <w:sz w:val="28"/>
          <w:szCs w:val="28"/>
        </w:rPr>
        <w:lastRenderedPageBreak/>
        <w:t>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продукции, товаров, работ, услуг с 30,6 % до 35,1 %, в средней численности работников с 26,2 % до 28,2 %.</w:t>
      </w:r>
      <w:proofErr w:type="gramEnd"/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Удельный вес субъектов малого и среднего предпринимательства </w:t>
      </w:r>
      <w:proofErr w:type="gramStart"/>
      <w:r w:rsidRPr="00DA6B18">
        <w:rPr>
          <w:rFonts w:ascii="Times New Roman" w:hAnsi="Times New Roman"/>
          <w:sz w:val="28"/>
          <w:szCs w:val="28"/>
        </w:rPr>
        <w:t>–ю</w:t>
      </w:r>
      <w:proofErr w:type="gramEnd"/>
      <w:r w:rsidRPr="00DA6B18">
        <w:rPr>
          <w:rFonts w:ascii="Times New Roman" w:hAnsi="Times New Roman"/>
          <w:sz w:val="28"/>
          <w:szCs w:val="28"/>
        </w:rPr>
        <w:t>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DA6B18">
        <w:rPr>
          <w:rFonts w:ascii="Times New Roman" w:hAnsi="Times New Roman"/>
          <w:sz w:val="28"/>
          <w:szCs w:val="28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Наиболее значимыми инвестиционными проектами</w:t>
      </w:r>
      <w:r w:rsidRPr="00DA6B18">
        <w:rPr>
          <w:rFonts w:ascii="Times New Roman" w:hAnsi="Times New Roman"/>
          <w:iCs/>
          <w:sz w:val="28"/>
          <w:szCs w:val="28"/>
        </w:rPr>
        <w:t>, влияющими на экономику региона, являются</w:t>
      </w:r>
      <w:r w:rsidRPr="00DA6B18">
        <w:rPr>
          <w:rFonts w:ascii="Times New Roman" w:hAnsi="Times New Roman"/>
          <w:sz w:val="28"/>
          <w:szCs w:val="28"/>
        </w:rPr>
        <w:t>: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строительство, организация производства и последующая эксплуатация завода по выпуску ориентировано-стружечных плит (ОСБ) в </w:t>
      </w:r>
      <w:proofErr w:type="gramStart"/>
      <w:r w:rsidRPr="00DA6B18">
        <w:rPr>
          <w:rFonts w:ascii="Times New Roman" w:hAnsi="Times New Roman"/>
          <w:sz w:val="28"/>
          <w:szCs w:val="28"/>
        </w:rPr>
        <w:t>г</w:t>
      </w:r>
      <w:proofErr w:type="gramEnd"/>
      <w:r w:rsidRPr="00DA6B18">
        <w:rPr>
          <w:rFonts w:ascii="Times New Roman" w:hAnsi="Times New Roman"/>
          <w:sz w:val="28"/>
          <w:szCs w:val="28"/>
        </w:rPr>
        <w:t>. Могилев на территории СЭЗ «Могилев», ИООО «</w:t>
      </w:r>
      <w:proofErr w:type="spellStart"/>
      <w:r w:rsidRPr="00DA6B18">
        <w:rPr>
          <w:rFonts w:ascii="Times New Roman" w:hAnsi="Times New Roman"/>
          <w:sz w:val="28"/>
          <w:szCs w:val="28"/>
        </w:rPr>
        <w:t>Кроноспан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ОСБ» (2013-2021 гг., за период реализации проекта освоено инвестиций на сумму 443,6 млн. рублей, создано 185 рабочих мест);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создание предприятия по производству технического углерода </w:t>
      </w:r>
      <w:r w:rsidRPr="00DA6B18">
        <w:rPr>
          <w:rFonts w:ascii="Times New Roman" w:hAnsi="Times New Roman"/>
          <w:sz w:val="28"/>
          <w:szCs w:val="28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модернизация производства в помещении крутильно-ткацкого корпуса по ул. Гришина, 87-3 и в здании отделочного корпуса по ул. Гришина, 87 в </w:t>
      </w:r>
      <w:proofErr w:type="gramStart"/>
      <w:r w:rsidRPr="00DA6B18">
        <w:rPr>
          <w:rFonts w:ascii="Times New Roman" w:hAnsi="Times New Roman"/>
          <w:sz w:val="28"/>
          <w:szCs w:val="28"/>
        </w:rPr>
        <w:t>г</w:t>
      </w:r>
      <w:proofErr w:type="gramEnd"/>
      <w:r w:rsidRPr="00DA6B18">
        <w:rPr>
          <w:rFonts w:ascii="Times New Roman" w:hAnsi="Times New Roman"/>
          <w:sz w:val="28"/>
          <w:szCs w:val="28"/>
        </w:rPr>
        <w:t>. Могилеве, ОАО «</w:t>
      </w:r>
      <w:proofErr w:type="spellStart"/>
      <w:r w:rsidRPr="00DA6B18">
        <w:rPr>
          <w:rFonts w:ascii="Times New Roman" w:hAnsi="Times New Roman"/>
          <w:sz w:val="28"/>
          <w:szCs w:val="28"/>
        </w:rPr>
        <w:t>Моготекс</w:t>
      </w:r>
      <w:proofErr w:type="spellEnd"/>
      <w:r w:rsidRPr="00DA6B18">
        <w:rPr>
          <w:rFonts w:ascii="Times New Roman" w:hAnsi="Times New Roman"/>
          <w:sz w:val="28"/>
          <w:szCs w:val="28"/>
        </w:rPr>
        <w:t>» (2018-2020 гг., освоено 38,7 млн. рублей инвестиций, или 71,3 %);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создание объекта «</w:t>
      </w:r>
      <w:proofErr w:type="spellStart"/>
      <w:r w:rsidRPr="00DA6B18">
        <w:rPr>
          <w:rFonts w:ascii="Times New Roman" w:hAnsi="Times New Roman"/>
          <w:sz w:val="28"/>
          <w:szCs w:val="28"/>
        </w:rPr>
        <w:t>Агропредприятие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A6B18">
        <w:rPr>
          <w:rFonts w:ascii="Times New Roman" w:hAnsi="Times New Roman"/>
          <w:sz w:val="28"/>
          <w:szCs w:val="28"/>
        </w:rPr>
        <w:t>Белдан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» по производству зерна и датской беконной свинины мощностью 53 000 голов в год вблизи дер. Ветка </w:t>
      </w:r>
      <w:proofErr w:type="spellStart"/>
      <w:r w:rsidRPr="00DA6B18">
        <w:rPr>
          <w:rFonts w:ascii="Times New Roman" w:hAnsi="Times New Roman"/>
          <w:sz w:val="28"/>
          <w:szCs w:val="28"/>
        </w:rPr>
        <w:t>Белыничского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района, ИООО «БОННЕТИ» (2018-2022 гг., освоено инвестиций 50,7 млн. рублей, или 76,8 %, создано 48 запланированных </w:t>
      </w:r>
      <w:r w:rsidRPr="00DA6B18">
        <w:rPr>
          <w:rFonts w:ascii="Times New Roman" w:hAnsi="Times New Roman"/>
          <w:sz w:val="28"/>
          <w:szCs w:val="28"/>
        </w:rPr>
        <w:lastRenderedPageBreak/>
        <w:t>рабочих мест);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 w:rsidRPr="00DA6B18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расширение промышленного комплекса по производству мяса цыплят бройлеров ЗАО «</w:t>
      </w:r>
      <w:proofErr w:type="spellStart"/>
      <w:r w:rsidRPr="00DA6B18">
        <w:rPr>
          <w:rFonts w:ascii="Times New Roman" w:hAnsi="Times New Roman"/>
          <w:sz w:val="28"/>
          <w:szCs w:val="28"/>
        </w:rPr>
        <w:t>Серволюкс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B18">
        <w:rPr>
          <w:rFonts w:ascii="Times New Roman" w:hAnsi="Times New Roman"/>
          <w:sz w:val="28"/>
          <w:szCs w:val="28"/>
        </w:rPr>
        <w:t>Агро</w:t>
      </w:r>
      <w:proofErr w:type="spellEnd"/>
      <w:r w:rsidRPr="00DA6B18">
        <w:rPr>
          <w:rFonts w:ascii="Times New Roman" w:hAnsi="Times New Roman"/>
          <w:sz w:val="28"/>
          <w:szCs w:val="28"/>
        </w:rPr>
        <w:t>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Начата реализация такого приоритетного проекта, как организация нового лесопильного и </w:t>
      </w:r>
      <w:proofErr w:type="spellStart"/>
      <w:r w:rsidRPr="00DA6B18">
        <w:rPr>
          <w:rFonts w:ascii="Times New Roman" w:hAnsi="Times New Roman"/>
          <w:sz w:val="28"/>
          <w:szCs w:val="28"/>
        </w:rPr>
        <w:t>пеллетного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производства в </w:t>
      </w:r>
      <w:proofErr w:type="gramStart"/>
      <w:r w:rsidRPr="00DA6B18">
        <w:rPr>
          <w:rFonts w:ascii="Times New Roman" w:hAnsi="Times New Roman"/>
          <w:sz w:val="28"/>
          <w:szCs w:val="28"/>
        </w:rPr>
        <w:t>г</w:t>
      </w:r>
      <w:proofErr w:type="gramEnd"/>
      <w:r w:rsidRPr="00DA6B18">
        <w:rPr>
          <w:rFonts w:ascii="Times New Roman" w:hAnsi="Times New Roman"/>
          <w:sz w:val="28"/>
          <w:szCs w:val="28"/>
        </w:rPr>
        <w:t>. Бобруйске, ООО «</w:t>
      </w:r>
      <w:proofErr w:type="spellStart"/>
      <w:r w:rsidRPr="00DA6B18">
        <w:rPr>
          <w:rFonts w:ascii="Times New Roman" w:hAnsi="Times New Roman"/>
          <w:sz w:val="28"/>
          <w:szCs w:val="28"/>
        </w:rPr>
        <w:t>БР-Вуд</w:t>
      </w:r>
      <w:proofErr w:type="spellEnd"/>
      <w:r w:rsidRPr="00DA6B18">
        <w:rPr>
          <w:rFonts w:ascii="Times New Roman" w:hAnsi="Times New Roman"/>
          <w:sz w:val="28"/>
          <w:szCs w:val="28"/>
        </w:rPr>
        <w:t>» (2019-2021 гг., заявленный объем инвестиций – 21 млн. евро, предусмотрено создание 54 рабочих мест).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>Модернизация ОАО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Белшина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сверхкрупнонабаритных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 шин. Масштабная модернизация позволила с 2013 года внедрить в производство порядка 130 новых типоразмеров шин.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>ОАО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Могилевхимволокно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» в два этапа реализуется инвестиционный проект по производству полиэфирной продукции. В конце 2018 года в строй введено </w:t>
      </w:r>
      <w:r w:rsidRPr="00DA6B18">
        <w:rPr>
          <w:rFonts w:ascii="Times New Roman" w:eastAsia="Times New Roman" w:hAnsi="Times New Roman"/>
          <w:bCs/>
          <w:sz w:val="28"/>
          <w:szCs w:val="28"/>
        </w:rPr>
        <w:t xml:space="preserve">производство по выпуску полиэфирного волокна способом прямого формования.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6B18">
        <w:rPr>
          <w:rFonts w:ascii="Times New Roman" w:eastAsia="Times New Roman" w:hAnsi="Times New Roman"/>
          <w:bCs/>
          <w:sz w:val="28"/>
          <w:szCs w:val="28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>Главным приоритетом научно-технического развития ОАО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Могилевлифтмаш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» является освоение в производстве нового поколения лифтового оборудования, которое по своим технико-экономическим и потребительским свойствам не уступает лучшим иностранным аналогам.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безредукторного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 привода: лифтов </w:t>
      </w:r>
      <w:proofErr w:type="spellStart"/>
      <w:proofErr w:type="gramStart"/>
      <w:r w:rsidRPr="00DA6B18">
        <w:rPr>
          <w:rFonts w:ascii="Times New Roman" w:eastAsia="Times New Roman" w:hAnsi="Times New Roman"/>
          <w:sz w:val="28"/>
          <w:szCs w:val="28"/>
        </w:rPr>
        <w:t>эконом-класса</w:t>
      </w:r>
      <w:proofErr w:type="spellEnd"/>
      <w:proofErr w:type="gramEnd"/>
      <w:r w:rsidRPr="00DA6B18">
        <w:rPr>
          <w:rFonts w:ascii="Times New Roman" w:eastAsia="Times New Roman" w:hAnsi="Times New Roman"/>
          <w:sz w:val="28"/>
          <w:szCs w:val="28"/>
        </w:rPr>
        <w:t xml:space="preserve">, лифтов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бизнес-класса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 xml:space="preserve">Освоение производства эскалаторов поэтажных и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траволаторов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 со 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Важную роль в развитии региональной экономики, повышении ее </w:t>
      </w:r>
      <w:r w:rsidRPr="00DA6B18">
        <w:rPr>
          <w:rFonts w:ascii="Times New Roman" w:hAnsi="Times New Roman"/>
          <w:sz w:val="28"/>
          <w:szCs w:val="28"/>
        </w:rPr>
        <w:lastRenderedPageBreak/>
        <w:t>конкурентоспособности играет эффективная внешнеэкономическая политика</w:t>
      </w:r>
      <w:r w:rsidRPr="00DA6B18">
        <w:rPr>
          <w:rFonts w:ascii="Times New Roman" w:hAnsi="Times New Roman"/>
          <w:i/>
          <w:sz w:val="28"/>
          <w:szCs w:val="28"/>
        </w:rPr>
        <w:t xml:space="preserve">. </w:t>
      </w:r>
      <w:r w:rsidRPr="00DA6B18">
        <w:rPr>
          <w:rFonts w:ascii="Times New Roman" w:hAnsi="Times New Roman"/>
          <w:sz w:val="28"/>
          <w:szCs w:val="28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DA6B18">
        <w:rPr>
          <w:rFonts w:ascii="Times New Roman" w:hAnsi="Times New Roman"/>
          <w:sz w:val="28"/>
          <w:szCs w:val="28"/>
        </w:rPr>
        <w:tab/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DA6B18">
        <w:rPr>
          <w:rFonts w:ascii="Times New Roman" w:hAnsi="Times New Roman"/>
          <w:sz w:val="28"/>
          <w:szCs w:val="28"/>
        </w:rPr>
        <w:tab/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Отмечается активное вовлечение во внешнеэкономическую деятельность организаций частной формы собственности, которые создают </w:t>
      </w:r>
      <w:proofErr w:type="spellStart"/>
      <w:r w:rsidRPr="00DA6B18">
        <w:rPr>
          <w:rFonts w:ascii="Times New Roman" w:hAnsi="Times New Roman"/>
          <w:sz w:val="28"/>
          <w:szCs w:val="28"/>
        </w:rPr>
        <w:t>экспортоориентированные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производства с привлечением иностранных инвестиций и выпускают продукцию с высокой добавленной стоимостью.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Количество таких организаций–экспортеров возросло с 567 в 2015 году до 781 в 2019 году.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2015 году Могилевская область осуществляла экспортные поставки в 97 страны, по итогам 2019 года – в 100 стран.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С целью принятия мер оперативного регулирования по сбалансированному развитию экономики региона ежегодно  формируется План мероприятий по </w:t>
      </w:r>
      <w:proofErr w:type="spellStart"/>
      <w:r w:rsidRPr="00DA6B18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Могилевской области.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млн. долл. США в 2015 г. до 630 млн. долл. США в 2019 г.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Удельный вес импортозамещающей продукции в объеме промышленного производства области </w:t>
      </w:r>
      <w:r w:rsidRPr="00DA6B18">
        <w:rPr>
          <w:rFonts w:ascii="Times New Roman" w:hAnsi="Times New Roman"/>
          <w:i/>
          <w:sz w:val="28"/>
          <w:szCs w:val="28"/>
        </w:rPr>
        <w:t>(без учета республиканских организаций</w:t>
      </w:r>
      <w:r w:rsidRPr="00DA6B18">
        <w:rPr>
          <w:rFonts w:ascii="Times New Roman" w:hAnsi="Times New Roman"/>
          <w:sz w:val="28"/>
          <w:szCs w:val="28"/>
        </w:rPr>
        <w:t>) увеличился с 21,7 % в 2015 г. до 40,1 % в 2019 г. (или на 18,4 процентного пункта).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Удельный вес производства импортозамещающей продукции организаций малого и среднего бизнеса в общем объеме </w:t>
      </w:r>
      <w:proofErr w:type="spellStart"/>
      <w:r w:rsidRPr="00DA6B18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увеличился  с 48,0 % за 2015 г. до 69,4 % за 2019 г. (или на 21,4 процентного пункта).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6B18">
        <w:rPr>
          <w:rFonts w:ascii="Times New Roman" w:eastAsia="Times New Roman" w:hAnsi="Times New Roman"/>
          <w:sz w:val="28"/>
          <w:szCs w:val="28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</w:t>
      </w:r>
      <w:r w:rsidRPr="00DA6B18">
        <w:rPr>
          <w:rFonts w:ascii="Times New Roman" w:hAnsi="Times New Roman"/>
          <w:sz w:val="28"/>
          <w:szCs w:val="28"/>
        </w:rPr>
        <w:t>Могилевская молочная компания «Бабушкина крынка», ЗАО «</w:t>
      </w:r>
      <w:proofErr w:type="spellStart"/>
      <w:r w:rsidRPr="00DA6B18">
        <w:rPr>
          <w:rFonts w:ascii="Times New Roman" w:hAnsi="Times New Roman"/>
          <w:sz w:val="28"/>
          <w:szCs w:val="28"/>
        </w:rPr>
        <w:t>Серволюкс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B18">
        <w:rPr>
          <w:rFonts w:ascii="Times New Roman" w:hAnsi="Times New Roman"/>
          <w:sz w:val="28"/>
          <w:szCs w:val="28"/>
        </w:rPr>
        <w:t>Агро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», </w:t>
      </w:r>
      <w:r w:rsidRPr="00DA6B18">
        <w:rPr>
          <w:rFonts w:ascii="Times New Roman" w:eastAsia="Times New Roman" w:hAnsi="Times New Roman"/>
          <w:sz w:val="28"/>
          <w:szCs w:val="28"/>
        </w:rPr>
        <w:t xml:space="preserve">СООО «Оазис Групп», </w:t>
      </w:r>
      <w:r w:rsidRPr="00DA6B18">
        <w:rPr>
          <w:rFonts w:ascii="Times New Roman" w:hAnsi="Times New Roman"/>
          <w:sz w:val="28"/>
          <w:szCs w:val="28"/>
        </w:rPr>
        <w:t>ИООО «</w:t>
      </w:r>
      <w:proofErr w:type="spellStart"/>
      <w:r w:rsidRPr="00DA6B18">
        <w:rPr>
          <w:rFonts w:ascii="Times New Roman" w:hAnsi="Times New Roman"/>
          <w:sz w:val="28"/>
          <w:szCs w:val="28"/>
        </w:rPr>
        <w:t>Кроноспан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ОСБ», ООО «</w:t>
      </w:r>
      <w:proofErr w:type="spellStart"/>
      <w:r w:rsidRPr="00DA6B18">
        <w:rPr>
          <w:rFonts w:ascii="Times New Roman" w:hAnsi="Times New Roman"/>
          <w:sz w:val="28"/>
          <w:szCs w:val="28"/>
        </w:rPr>
        <w:t>Кронохем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», </w:t>
      </w:r>
      <w:r w:rsidRPr="00DA6B18">
        <w:rPr>
          <w:rFonts w:ascii="Times New Roman" w:eastAsia="Times New Roman" w:hAnsi="Times New Roman"/>
          <w:sz w:val="28"/>
          <w:szCs w:val="28"/>
        </w:rPr>
        <w:t>ИЧПУП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Косметическо-парфюмерная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 фабрика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Сонца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>», ИООО «Кровельный завод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ТехноНИКОЛЬ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>», ЗАО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</w:rPr>
        <w:t>Альтимед</w:t>
      </w:r>
      <w:proofErr w:type="spellEnd"/>
      <w:r w:rsidRPr="00DA6B18">
        <w:rPr>
          <w:rFonts w:ascii="Times New Roman" w:eastAsia="Times New Roman" w:hAnsi="Times New Roman"/>
          <w:sz w:val="28"/>
          <w:szCs w:val="28"/>
        </w:rPr>
        <w:t xml:space="preserve">» и другие.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lastRenderedPageBreak/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</w:t>
      </w:r>
      <w:proofErr w:type="spellStart"/>
      <w:r w:rsidRPr="00DA6B18">
        <w:rPr>
          <w:rFonts w:ascii="Times New Roman" w:hAnsi="Times New Roman"/>
          <w:sz w:val="28"/>
          <w:szCs w:val="28"/>
        </w:rPr>
        <w:t>Цзянсу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B18">
        <w:rPr>
          <w:rFonts w:ascii="Times New Roman" w:hAnsi="Times New Roman"/>
          <w:sz w:val="28"/>
          <w:szCs w:val="28"/>
        </w:rPr>
        <w:t>Хэнань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B18">
        <w:rPr>
          <w:rFonts w:ascii="Times New Roman" w:hAnsi="Times New Roman"/>
          <w:sz w:val="28"/>
          <w:szCs w:val="28"/>
        </w:rPr>
        <w:t>Хунань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B18">
        <w:rPr>
          <w:rFonts w:ascii="Times New Roman" w:hAnsi="Times New Roman"/>
          <w:sz w:val="28"/>
          <w:szCs w:val="28"/>
        </w:rPr>
        <w:t>Шэньси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и городом </w:t>
      </w:r>
      <w:proofErr w:type="spellStart"/>
      <w:r w:rsidRPr="00DA6B18">
        <w:rPr>
          <w:rFonts w:ascii="Times New Roman" w:hAnsi="Times New Roman"/>
          <w:sz w:val="28"/>
          <w:szCs w:val="28"/>
        </w:rPr>
        <w:t>Тяньцзинь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). Благодаря этому значительно увеличился и внешнеторговый оборот Могилевской области и Китая.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A6B18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DA6B18">
        <w:rPr>
          <w:rFonts w:ascii="Times New Roman" w:hAnsi="Times New Roman"/>
          <w:i/>
          <w:sz w:val="28"/>
          <w:szCs w:val="28"/>
        </w:rPr>
        <w:t>:</w:t>
      </w:r>
      <w:r w:rsidRPr="00DA6B18">
        <w:rPr>
          <w:rFonts w:ascii="Times New Roman" w:hAnsi="Times New Roman"/>
          <w:sz w:val="28"/>
          <w:szCs w:val="28"/>
        </w:rPr>
        <w:t xml:space="preserve">  </w:t>
      </w:r>
      <w:r w:rsidRPr="00DA6B18">
        <w:rPr>
          <w:rFonts w:ascii="Times New Roman" w:hAnsi="Times New Roman"/>
          <w:i/>
          <w:sz w:val="28"/>
          <w:szCs w:val="28"/>
        </w:rPr>
        <w:t xml:space="preserve">27 сентября 2018 г. в г. Могилеве прошел Белорусско-Китайский бизнес-форум, </w:t>
      </w:r>
      <w:proofErr w:type="spellStart"/>
      <w:r w:rsidRPr="00DA6B18">
        <w:rPr>
          <w:rFonts w:ascii="Times New Roman" w:hAnsi="Times New Roman"/>
          <w:i/>
          <w:sz w:val="28"/>
          <w:szCs w:val="28"/>
        </w:rPr>
        <w:t>соорганизатором</w:t>
      </w:r>
      <w:proofErr w:type="spellEnd"/>
      <w:r w:rsidRPr="00DA6B18">
        <w:rPr>
          <w:rFonts w:ascii="Times New Roman" w:hAnsi="Times New Roman"/>
          <w:i/>
          <w:sz w:val="28"/>
          <w:szCs w:val="28"/>
        </w:rPr>
        <w:t xml:space="preserve"> Форума выступил Департамент коммерции провинции </w:t>
      </w:r>
      <w:proofErr w:type="spellStart"/>
      <w:r w:rsidRPr="00DA6B18">
        <w:rPr>
          <w:rFonts w:ascii="Times New Roman" w:hAnsi="Times New Roman"/>
          <w:i/>
          <w:sz w:val="28"/>
          <w:szCs w:val="28"/>
        </w:rPr>
        <w:t>Цзянсу</w:t>
      </w:r>
      <w:proofErr w:type="spellEnd"/>
      <w:r w:rsidRPr="00DA6B18">
        <w:rPr>
          <w:rFonts w:ascii="Times New Roman" w:hAnsi="Times New Roman"/>
          <w:i/>
          <w:sz w:val="28"/>
          <w:szCs w:val="28"/>
        </w:rPr>
        <w:t>. Также в сентябре 2019 года в области прошла первая Региональная Белорусско-Китайская неделя сотрудничества.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Расширяются связи с регионами России. Только в рамках Форумов 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sz w:val="28"/>
          <w:szCs w:val="28"/>
        </w:rPr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DA6B18">
        <w:rPr>
          <w:rFonts w:ascii="Times New Roman" w:hAnsi="Times New Roman"/>
          <w:i/>
          <w:sz w:val="28"/>
          <w:szCs w:val="28"/>
        </w:rPr>
        <w:t>(октябрь 2017 г.)</w:t>
      </w:r>
      <w:r w:rsidRPr="00DA6B18">
        <w:rPr>
          <w:rFonts w:ascii="Times New Roman" w:hAnsi="Times New Roman"/>
          <w:sz w:val="28"/>
          <w:szCs w:val="28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  <w:proofErr w:type="gramEnd"/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B18">
        <w:rPr>
          <w:rFonts w:ascii="Times New Roman" w:hAnsi="Times New Roman"/>
          <w:color w:val="000000"/>
          <w:sz w:val="28"/>
          <w:szCs w:val="28"/>
        </w:rPr>
        <w:lastRenderedPageBreak/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</w:t>
      </w:r>
      <w:proofErr w:type="gramStart"/>
      <w:r w:rsidRPr="00DA6B18">
        <w:rPr>
          <w:rFonts w:ascii="Times New Roman" w:hAnsi="Times New Roman"/>
          <w:sz w:val="28"/>
          <w:szCs w:val="28"/>
        </w:rPr>
        <w:t>г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. Могилеве. </w:t>
      </w:r>
      <w:proofErr w:type="gramStart"/>
      <w:r w:rsidRPr="00DA6B18">
        <w:rPr>
          <w:rFonts w:ascii="Times New Roman" w:hAnsi="Times New Roman"/>
          <w:sz w:val="28"/>
          <w:szCs w:val="28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sz w:val="28"/>
          <w:szCs w:val="28"/>
        </w:rPr>
        <w:t>В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6B18">
        <w:rPr>
          <w:rFonts w:ascii="Times New Roman" w:hAnsi="Times New Roman"/>
          <w:sz w:val="28"/>
          <w:szCs w:val="28"/>
        </w:rPr>
        <w:t>УЗ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В планах – строительство кардиохирургического корпуса </w:t>
      </w:r>
      <w:proofErr w:type="gramStart"/>
      <w:r w:rsidRPr="00DA6B18">
        <w:rPr>
          <w:rFonts w:ascii="Times New Roman" w:hAnsi="Times New Roman"/>
          <w:sz w:val="28"/>
          <w:szCs w:val="28"/>
        </w:rPr>
        <w:t>в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УЗ «Могилевская областная больница».</w:t>
      </w:r>
    </w:p>
    <w:p w:rsidR="00282307" w:rsidRPr="00DA6B18" w:rsidRDefault="00282307" w:rsidP="00282307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</w:rPr>
      </w:pPr>
      <w:r w:rsidRPr="00DA6B18">
        <w:rPr>
          <w:rFonts w:ascii="Times New Roman" w:hAnsi="Times New Roman"/>
        </w:rPr>
        <w:t>С 2015 по 2019 годы и 4 месяца 2020 г. на территории Могилевской области отмечается снижение преступности</w:t>
      </w:r>
      <w:r w:rsidRPr="00DA6B18">
        <w:rPr>
          <w:rStyle w:val="145pt"/>
          <w:rFonts w:ascii="Times New Roman" w:hAnsi="Times New Roman"/>
          <w:sz w:val="28"/>
          <w:szCs w:val="28"/>
        </w:rPr>
        <w:t xml:space="preserve"> (2015 г. - 11103</w:t>
      </w:r>
      <w:r w:rsidRPr="00DA6B18">
        <w:rPr>
          <w:rStyle w:val="145pt"/>
          <w:rFonts w:ascii="Times New Roman" w:hAnsi="Times New Roman"/>
          <w:i w:val="0"/>
          <w:sz w:val="28"/>
          <w:szCs w:val="28"/>
        </w:rPr>
        <w:t xml:space="preserve">,  </w:t>
      </w:r>
      <w:r w:rsidRPr="00DA6B18">
        <w:rPr>
          <w:rStyle w:val="145pt"/>
          <w:rFonts w:ascii="Times New Roman" w:hAnsi="Times New Roman"/>
          <w:sz w:val="28"/>
          <w:szCs w:val="28"/>
        </w:rPr>
        <w:t>2019</w:t>
      </w:r>
      <w:r w:rsidRPr="00DA6B18">
        <w:rPr>
          <w:rFonts w:ascii="Times New Roman" w:hAnsi="Times New Roman"/>
          <w:i/>
        </w:rPr>
        <w:t xml:space="preserve"> г. - 9900 преступлений</w:t>
      </w:r>
      <w:r w:rsidRPr="00DA6B18">
        <w:rPr>
          <w:rFonts w:ascii="Times New Roman" w:hAnsi="Times New Roman"/>
        </w:rPr>
        <w:t>).</w:t>
      </w:r>
    </w:p>
    <w:p w:rsidR="00282307" w:rsidRPr="00DA6B18" w:rsidRDefault="00282307" w:rsidP="00282307">
      <w:pPr>
        <w:pStyle w:val="40"/>
        <w:shd w:val="clear" w:color="auto" w:fill="auto"/>
        <w:spacing w:line="24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DA6B18">
        <w:rPr>
          <w:rStyle w:val="414pt"/>
          <w:rFonts w:ascii="Times New Roman" w:hAnsi="Times New Roman"/>
          <w:i w:val="0"/>
        </w:rPr>
        <w:t>Меньше совершено преступлений на 10 тысяч населения</w:t>
      </w:r>
      <w:r w:rsidRPr="00DA6B18">
        <w:rPr>
          <w:rFonts w:ascii="Times New Roman" w:hAnsi="Times New Roman"/>
          <w:sz w:val="28"/>
          <w:szCs w:val="28"/>
        </w:rPr>
        <w:t xml:space="preserve"> </w:t>
      </w:r>
      <w:r w:rsidRPr="00DA6B18">
        <w:rPr>
          <w:rFonts w:ascii="Times New Roman" w:hAnsi="Times New Roman"/>
          <w:i/>
          <w:sz w:val="28"/>
          <w:szCs w:val="28"/>
        </w:rPr>
        <w:t>(2015 г. - 103,6; 2019 г. – 93,8 преступлений)</w:t>
      </w:r>
      <w:r w:rsidRPr="00DA6B18">
        <w:rPr>
          <w:rFonts w:ascii="Times New Roman" w:hAnsi="Times New Roman"/>
          <w:sz w:val="28"/>
          <w:szCs w:val="28"/>
        </w:rPr>
        <w:t xml:space="preserve">, преступлений по линии </w:t>
      </w:r>
      <w:proofErr w:type="spellStart"/>
      <w:r w:rsidRPr="00DA6B18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и противодействия торговле людьми</w:t>
      </w:r>
      <w:r w:rsidRPr="00DA6B18">
        <w:rPr>
          <w:rStyle w:val="145pt"/>
          <w:rFonts w:ascii="Times New Roman" w:hAnsi="Times New Roman"/>
          <w:sz w:val="28"/>
          <w:szCs w:val="28"/>
        </w:rPr>
        <w:t xml:space="preserve"> (2015 г. - 837; 2019 г. - 604).</w:t>
      </w:r>
    </w:p>
    <w:p w:rsidR="00282307" w:rsidRPr="00DA6B18" w:rsidRDefault="00282307" w:rsidP="00282307">
      <w:pPr>
        <w:pStyle w:val="40"/>
        <w:shd w:val="clear" w:color="auto" w:fill="auto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  <w:r w:rsidRPr="00DA6B18">
        <w:rPr>
          <w:rStyle w:val="414pt"/>
          <w:rFonts w:ascii="Times New Roman" w:hAnsi="Times New Roman"/>
          <w:i w:val="0"/>
        </w:rPr>
        <w:t>С 2015 года уменьшилось количество ДТП</w:t>
      </w:r>
      <w:r w:rsidRPr="00DA6B18">
        <w:rPr>
          <w:rStyle w:val="414pt"/>
          <w:rFonts w:ascii="Times New Roman" w:hAnsi="Times New Roman"/>
        </w:rPr>
        <w:t xml:space="preserve"> </w:t>
      </w:r>
      <w:r w:rsidRPr="00DA6B18">
        <w:rPr>
          <w:rStyle w:val="414pt"/>
          <w:rFonts w:ascii="Times New Roman" w:hAnsi="Times New Roman"/>
          <w:i w:val="0"/>
        </w:rPr>
        <w:t>(</w:t>
      </w:r>
      <w:r w:rsidRPr="00DA6B18">
        <w:rPr>
          <w:rFonts w:ascii="Times New Roman" w:hAnsi="Times New Roman"/>
          <w:i/>
          <w:sz w:val="28"/>
          <w:szCs w:val="28"/>
        </w:rPr>
        <w:t>2015 г. - 579; 2019 г. - 412)</w:t>
      </w:r>
      <w:r w:rsidRPr="00DA6B18">
        <w:rPr>
          <w:rFonts w:ascii="Times New Roman" w:hAnsi="Times New Roman"/>
          <w:sz w:val="28"/>
          <w:szCs w:val="28"/>
        </w:rPr>
        <w:t>,</w:t>
      </w:r>
      <w:r w:rsidRPr="00DA6B18">
        <w:rPr>
          <w:rStyle w:val="414pt"/>
          <w:rFonts w:ascii="Times New Roman" w:hAnsi="Times New Roman"/>
        </w:rPr>
        <w:t xml:space="preserve"> </w:t>
      </w:r>
      <w:r w:rsidRPr="00DA6B18">
        <w:rPr>
          <w:rStyle w:val="414pt"/>
          <w:rFonts w:ascii="Times New Roman" w:hAnsi="Times New Roman"/>
          <w:i w:val="0"/>
        </w:rPr>
        <w:t>погибших</w:t>
      </w:r>
      <w:r w:rsidRPr="00DA6B18">
        <w:rPr>
          <w:rStyle w:val="414pt"/>
          <w:rFonts w:ascii="Times New Roman" w:hAnsi="Times New Roman"/>
        </w:rPr>
        <w:t xml:space="preserve"> </w:t>
      </w:r>
      <w:r w:rsidRPr="00DA6B18">
        <w:rPr>
          <w:rFonts w:ascii="Times New Roman" w:hAnsi="Times New Roman"/>
          <w:i/>
          <w:sz w:val="28"/>
          <w:szCs w:val="28"/>
        </w:rPr>
        <w:t xml:space="preserve">(2015 г. - 92; 2019 г. - 52). </w:t>
      </w:r>
      <w:r w:rsidRPr="00DA6B18">
        <w:rPr>
          <w:rStyle w:val="414pt"/>
          <w:rFonts w:ascii="Times New Roman" w:hAnsi="Times New Roman"/>
        </w:rPr>
        <w:t xml:space="preserve"> </w:t>
      </w:r>
    </w:p>
    <w:p w:rsidR="00282307" w:rsidRPr="00DA6B18" w:rsidRDefault="00282307" w:rsidP="00282307">
      <w:pPr>
        <w:pStyle w:val="newncpi"/>
        <w:rPr>
          <w:sz w:val="28"/>
          <w:szCs w:val="28"/>
        </w:rPr>
      </w:pPr>
      <w:r w:rsidRPr="00DA6B18">
        <w:rPr>
          <w:sz w:val="28"/>
          <w:szCs w:val="28"/>
        </w:rPr>
        <w:t>Результаты работы торговли области в 2016 – 1 квартале 2020 года характеризуются динамичным развитием внутреннего потребительского рынка. В</w:t>
      </w:r>
      <w:r w:rsidRPr="00DA6B18">
        <w:rPr>
          <w:color w:val="000000"/>
          <w:sz w:val="28"/>
          <w:szCs w:val="28"/>
        </w:rPr>
        <w:t xml:space="preserve"> области наблюдается </w:t>
      </w:r>
      <w:r w:rsidRPr="00DA6B18">
        <w:rPr>
          <w:sz w:val="28"/>
          <w:szCs w:val="28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282307" w:rsidRPr="00DA6B18" w:rsidRDefault="00282307" w:rsidP="00282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В условиях ценовой стабильности, роста доходов населения за 2016 – 1 </w:t>
      </w:r>
      <w:r w:rsidRPr="00DA6B18">
        <w:rPr>
          <w:rFonts w:ascii="Times New Roman" w:hAnsi="Times New Roman"/>
          <w:sz w:val="28"/>
          <w:szCs w:val="28"/>
        </w:rPr>
        <w:lastRenderedPageBreak/>
        <w:t xml:space="preserve">квартал 2020 года обеспечен темп роста розничного товарооборота в целом по области 116,7% в сопоставимых ценах. </w:t>
      </w:r>
    </w:p>
    <w:p w:rsidR="00282307" w:rsidRPr="00DA6B18" w:rsidRDefault="00282307" w:rsidP="00282307">
      <w:pPr>
        <w:pStyle w:val="newncpi"/>
        <w:rPr>
          <w:sz w:val="28"/>
          <w:szCs w:val="28"/>
        </w:rPr>
      </w:pPr>
      <w:r w:rsidRPr="00DA6B18">
        <w:rPr>
          <w:sz w:val="28"/>
          <w:szCs w:val="28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кв.м. на 1 тыс. жителей при нормативе – 600 кв. м. на 1 тыс. жителей. </w:t>
      </w:r>
    </w:p>
    <w:p w:rsidR="00282307" w:rsidRPr="00DA6B18" w:rsidRDefault="00282307" w:rsidP="00282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ab/>
        <w:t xml:space="preserve"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ценам, в т.ч. посредством совершенствования инфраструктуры торговли и ее </w:t>
      </w:r>
      <w:proofErr w:type="spellStart"/>
      <w:r w:rsidRPr="00DA6B1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A6B18">
        <w:rPr>
          <w:rFonts w:ascii="Times New Roman" w:hAnsi="Times New Roman"/>
          <w:sz w:val="28"/>
          <w:szCs w:val="28"/>
        </w:rPr>
        <w:t>.</w:t>
      </w:r>
      <w:r w:rsidRPr="00DA6B18">
        <w:rPr>
          <w:rFonts w:ascii="Times New Roman" w:hAnsi="Times New Roman"/>
          <w:sz w:val="28"/>
          <w:szCs w:val="28"/>
        </w:rPr>
        <w:tab/>
      </w:r>
    </w:p>
    <w:p w:rsidR="00282307" w:rsidRPr="00DA6B18" w:rsidRDefault="00282307" w:rsidP="00282307">
      <w:pPr>
        <w:pStyle w:val="Style4"/>
        <w:widowControl/>
        <w:ind w:firstLine="715"/>
        <w:jc w:val="both"/>
        <w:rPr>
          <w:sz w:val="28"/>
          <w:szCs w:val="28"/>
        </w:rPr>
      </w:pPr>
      <w:r w:rsidRPr="00DA6B18">
        <w:rPr>
          <w:sz w:val="28"/>
          <w:szCs w:val="28"/>
        </w:rPr>
        <w:t>В целях обеспечения целевого индикатора по розничному товарообороту в области продолжат свое развитие:</w:t>
      </w:r>
    </w:p>
    <w:p w:rsidR="00282307" w:rsidRPr="00DA6B18" w:rsidRDefault="00282307" w:rsidP="00282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ab/>
        <w:t>торговая инфраструктура за счет увеличения розничных торговых объектов;</w:t>
      </w:r>
    </w:p>
    <w:p w:rsidR="00282307" w:rsidRPr="00DA6B18" w:rsidRDefault="00282307" w:rsidP="00282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ab/>
        <w:t>внемагазинные формы продаж (интернет – торговля, торговля по образцам с использованием электронных платежных инструментов и сре</w:t>
      </w:r>
      <w:proofErr w:type="gramStart"/>
      <w:r w:rsidRPr="00DA6B18">
        <w:rPr>
          <w:rFonts w:ascii="Times New Roman" w:hAnsi="Times New Roman"/>
          <w:sz w:val="28"/>
          <w:szCs w:val="28"/>
        </w:rPr>
        <w:t>дств пл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атежа); </w:t>
      </w:r>
    </w:p>
    <w:p w:rsidR="00282307" w:rsidRPr="00DA6B18" w:rsidRDefault="00282307" w:rsidP="00282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282307" w:rsidRPr="00DA6B18" w:rsidRDefault="00282307" w:rsidP="00282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ab/>
        <w:t xml:space="preserve">Совершенствование торговой сети будет осуществляться как за счет </w:t>
      </w:r>
      <w:proofErr w:type="spellStart"/>
      <w:r w:rsidRPr="00DA6B18">
        <w:rPr>
          <w:rFonts w:ascii="Times New Roman" w:hAnsi="Times New Roman"/>
          <w:sz w:val="28"/>
          <w:szCs w:val="28"/>
        </w:rPr>
        <w:t>многоформатной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</w:t>
      </w:r>
      <w:proofErr w:type="spellStart"/>
      <w:r w:rsidRPr="00DA6B18">
        <w:rPr>
          <w:rFonts w:ascii="Times New Roman" w:hAnsi="Times New Roman"/>
          <w:sz w:val="28"/>
          <w:szCs w:val="28"/>
        </w:rPr>
        <w:t>стрит-ритейла</w:t>
      </w:r>
      <w:proofErr w:type="spellEnd"/>
      <w:r w:rsidRPr="00DA6B18">
        <w:rPr>
          <w:rFonts w:ascii="Times New Roman" w:hAnsi="Times New Roman"/>
          <w:sz w:val="28"/>
          <w:szCs w:val="28"/>
        </w:rPr>
        <w:t>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bCs/>
          <w:sz w:val="28"/>
          <w:szCs w:val="28"/>
        </w:rPr>
        <w:t xml:space="preserve">Развитие сферы общественного питания </w:t>
      </w:r>
      <w:r w:rsidRPr="00DA6B18">
        <w:rPr>
          <w:rFonts w:ascii="Times New Roman" w:hAnsi="Times New Roman"/>
          <w:sz w:val="28"/>
          <w:szCs w:val="28"/>
        </w:rPr>
        <w:t xml:space="preserve">будет направлено на </w:t>
      </w:r>
      <w:r w:rsidRPr="00DA6B18">
        <w:rPr>
          <w:rFonts w:ascii="Times New Roman" w:hAnsi="Times New Roman"/>
          <w:bCs/>
          <w:sz w:val="28"/>
          <w:szCs w:val="28"/>
        </w:rPr>
        <w:t xml:space="preserve"> совершенствование материально – технической базы существующих, а также </w:t>
      </w:r>
      <w:r w:rsidRPr="00DA6B18">
        <w:rPr>
          <w:rFonts w:ascii="Times New Roman" w:hAnsi="Times New Roman"/>
          <w:sz w:val="28"/>
          <w:szCs w:val="28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DA6B18">
        <w:rPr>
          <w:rFonts w:ascii="Times New Roman" w:hAnsi="Times New Roman"/>
          <w:bCs/>
          <w:sz w:val="28"/>
          <w:szCs w:val="28"/>
        </w:rPr>
        <w:t>открытия новых объектов общественного питания</w:t>
      </w:r>
      <w:r w:rsidRPr="00DA6B18">
        <w:rPr>
          <w:rFonts w:ascii="Times New Roman" w:hAnsi="Times New Roman"/>
          <w:sz w:val="28"/>
          <w:szCs w:val="28"/>
        </w:rPr>
        <w:t xml:space="preserve"> различного формата, в том числе </w:t>
      </w:r>
      <w:r w:rsidRPr="00DA6B18">
        <w:rPr>
          <w:rFonts w:ascii="Times New Roman" w:hAnsi="Times New Roman"/>
          <w:bCs/>
          <w:sz w:val="28"/>
          <w:szCs w:val="28"/>
        </w:rPr>
        <w:t xml:space="preserve">объектов быстрого обслуживания (кофейни, мини-кафе, рестораны быстрого обслуживания), </w:t>
      </w:r>
      <w:r w:rsidRPr="00DA6B18">
        <w:rPr>
          <w:rFonts w:ascii="Times New Roman" w:hAnsi="Times New Roman"/>
          <w:sz w:val="28"/>
          <w:szCs w:val="28"/>
        </w:rPr>
        <w:t>включения в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</w:t>
      </w:r>
      <w:proofErr w:type="spellStart"/>
      <w:proofErr w:type="gramStart"/>
      <w:r w:rsidRPr="00DA6B18">
        <w:rPr>
          <w:rFonts w:ascii="Times New Roman" w:hAnsi="Times New Roman"/>
          <w:sz w:val="28"/>
          <w:szCs w:val="28"/>
        </w:rPr>
        <w:t>интернет-сети</w:t>
      </w:r>
      <w:proofErr w:type="spellEnd"/>
      <w:proofErr w:type="gramEnd"/>
      <w:r w:rsidRPr="00DA6B18">
        <w:rPr>
          <w:rFonts w:ascii="Times New Roman" w:hAnsi="Times New Roman"/>
          <w:sz w:val="28"/>
          <w:szCs w:val="28"/>
        </w:rPr>
        <w:t xml:space="preserve">, развитие </w:t>
      </w:r>
      <w:proofErr w:type="spellStart"/>
      <w:r w:rsidRPr="00DA6B18">
        <w:rPr>
          <w:rFonts w:ascii="Times New Roman" w:hAnsi="Times New Roman"/>
          <w:sz w:val="28"/>
          <w:szCs w:val="28"/>
        </w:rPr>
        <w:t>кейтеринговых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услуг.</w:t>
      </w:r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Могилевская область вносит весомый вклад  и в развитие олим</w:t>
      </w:r>
      <w:r w:rsidRPr="00DA6B18">
        <w:rPr>
          <w:rFonts w:ascii="Times New Roman" w:hAnsi="Times New Roman"/>
          <w:sz w:val="28"/>
          <w:szCs w:val="28"/>
        </w:rPr>
        <w:softHyphen/>
        <w:t xml:space="preserve"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</w:t>
      </w:r>
      <w:proofErr w:type="spellStart"/>
      <w:r w:rsidRPr="00DA6B1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играх в Рио-де-Жанейро Игорь Бокий завоевал 6 золотых и 1 бронзовую медаль, установив шесть </w:t>
      </w:r>
      <w:proofErr w:type="spellStart"/>
      <w:r w:rsidRPr="00DA6B1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и два мировых рекорда (плавание - </w:t>
      </w:r>
      <w:proofErr w:type="spellStart"/>
      <w:r w:rsidRPr="00DA6B18">
        <w:rPr>
          <w:rFonts w:ascii="Times New Roman" w:hAnsi="Times New Roman"/>
          <w:sz w:val="28"/>
          <w:szCs w:val="28"/>
        </w:rPr>
        <w:t>инваспорт</w:t>
      </w:r>
      <w:proofErr w:type="spellEnd"/>
      <w:r w:rsidRPr="00DA6B18">
        <w:rPr>
          <w:rFonts w:ascii="Times New Roman" w:hAnsi="Times New Roman"/>
          <w:sz w:val="28"/>
          <w:szCs w:val="28"/>
        </w:rPr>
        <w:t>).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lastRenderedPageBreak/>
        <w:t xml:space="preserve">В 2018 году на зимних Олимпийских играх в </w:t>
      </w:r>
      <w:proofErr w:type="spellStart"/>
      <w:r w:rsidRPr="00DA6B18">
        <w:rPr>
          <w:rFonts w:ascii="Times New Roman" w:hAnsi="Times New Roman"/>
          <w:sz w:val="28"/>
          <w:szCs w:val="28"/>
        </w:rPr>
        <w:t>Пхенчхане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победителем стала Динара </w:t>
      </w:r>
      <w:proofErr w:type="spellStart"/>
      <w:r w:rsidRPr="00DA6B18">
        <w:rPr>
          <w:rFonts w:ascii="Times New Roman" w:hAnsi="Times New Roman"/>
          <w:sz w:val="28"/>
          <w:szCs w:val="28"/>
        </w:rPr>
        <w:t>Алимбекова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(биатлон). Юрий Голуб завоевал одну золотую, две серебряных и одну бронзовую медали на </w:t>
      </w:r>
      <w:proofErr w:type="spellStart"/>
      <w:r w:rsidRPr="00DA6B18">
        <w:rPr>
          <w:rFonts w:ascii="Times New Roman" w:hAnsi="Times New Roman"/>
          <w:sz w:val="28"/>
          <w:szCs w:val="28"/>
        </w:rPr>
        <w:t>Паралимпиаде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A6B18">
        <w:rPr>
          <w:rFonts w:ascii="Times New Roman" w:hAnsi="Times New Roman"/>
          <w:sz w:val="28"/>
          <w:szCs w:val="28"/>
        </w:rPr>
        <w:t>инваспор</w:t>
      </w:r>
      <w:proofErr w:type="gramStart"/>
      <w:r w:rsidRPr="00DA6B18">
        <w:rPr>
          <w:rFonts w:ascii="Times New Roman" w:hAnsi="Times New Roman"/>
          <w:sz w:val="28"/>
          <w:szCs w:val="28"/>
        </w:rPr>
        <w:t>т</w:t>
      </w:r>
      <w:proofErr w:type="spellEnd"/>
      <w:r w:rsidRPr="00DA6B18">
        <w:rPr>
          <w:rFonts w:ascii="Times New Roman" w:hAnsi="Times New Roman"/>
          <w:sz w:val="28"/>
          <w:szCs w:val="28"/>
        </w:rPr>
        <w:t>-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биатлон, лыжные гонки).</w:t>
      </w:r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color w:val="000000"/>
          <w:sz w:val="28"/>
          <w:szCs w:val="28"/>
        </w:rPr>
        <w:t xml:space="preserve">В 2019 году на </w:t>
      </w:r>
      <w:r w:rsidRPr="00DA6B1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A6B18">
        <w:rPr>
          <w:rFonts w:ascii="Times New Roman" w:hAnsi="Times New Roman"/>
          <w:color w:val="000000"/>
          <w:sz w:val="28"/>
          <w:szCs w:val="28"/>
        </w:rPr>
        <w:t xml:space="preserve"> Европейских играх спортсменами Могилевщины завоевано 10 - медалей (на </w:t>
      </w:r>
      <w:r w:rsidRPr="00DA6B1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DA6B18">
        <w:rPr>
          <w:rFonts w:ascii="Times New Roman" w:hAnsi="Times New Roman"/>
          <w:color w:val="000000"/>
          <w:sz w:val="28"/>
          <w:szCs w:val="28"/>
        </w:rPr>
        <w:t xml:space="preserve"> Европейских играх - 6).</w:t>
      </w:r>
      <w:r w:rsidRPr="00DA6B18">
        <w:rPr>
          <w:rFonts w:ascii="Times New Roman" w:hAnsi="Times New Roman"/>
          <w:sz w:val="28"/>
          <w:szCs w:val="28"/>
        </w:rPr>
        <w:t xml:space="preserve"> 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</w:t>
      </w:r>
      <w:proofErr w:type="gramStart"/>
      <w:r w:rsidRPr="00DA6B18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20 лет. </w:t>
      </w:r>
    </w:p>
    <w:p w:rsidR="00282307" w:rsidRPr="00DA6B18" w:rsidRDefault="00282307" w:rsidP="0028230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282307" w:rsidRPr="00DA6B18" w:rsidRDefault="00282307" w:rsidP="002823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</w:t>
      </w:r>
      <w:r w:rsidRPr="00DA6B18">
        <w:rPr>
          <w:rFonts w:ascii="Times New Roman" w:hAnsi="Times New Roman"/>
          <w:sz w:val="28"/>
          <w:szCs w:val="28"/>
          <w:lang w:val="be-BY"/>
        </w:rPr>
        <w:t xml:space="preserve">стадиона имени Александра Прокопенко в </w:t>
      </w:r>
      <w:r w:rsidRPr="00DA6B18">
        <w:rPr>
          <w:rFonts w:ascii="Times New Roman" w:hAnsi="Times New Roman"/>
          <w:sz w:val="28"/>
          <w:szCs w:val="28"/>
        </w:rPr>
        <w:t>г</w:t>
      </w:r>
      <w:proofErr w:type="gramStart"/>
      <w:r w:rsidRPr="00DA6B18">
        <w:rPr>
          <w:rFonts w:ascii="Times New Roman" w:hAnsi="Times New Roman"/>
          <w:sz w:val="28"/>
          <w:szCs w:val="28"/>
        </w:rPr>
        <w:t>.Б</w:t>
      </w:r>
      <w:proofErr w:type="gramEnd"/>
      <w:r w:rsidRPr="00DA6B18">
        <w:rPr>
          <w:rFonts w:ascii="Times New Roman" w:hAnsi="Times New Roman"/>
          <w:sz w:val="28"/>
          <w:szCs w:val="28"/>
        </w:rPr>
        <w:t>обруйске. В 2016 году завершена реконструкция спортивного комплекса в г</w:t>
      </w:r>
      <w:proofErr w:type="gramStart"/>
      <w:r w:rsidRPr="00DA6B18">
        <w:rPr>
          <w:rFonts w:ascii="Times New Roman" w:hAnsi="Times New Roman"/>
          <w:sz w:val="28"/>
          <w:szCs w:val="28"/>
        </w:rPr>
        <w:t>.Б</w:t>
      </w:r>
      <w:proofErr w:type="gramEnd"/>
      <w:r w:rsidRPr="00DA6B18">
        <w:rPr>
          <w:rFonts w:ascii="Times New Roman" w:hAnsi="Times New Roman"/>
          <w:sz w:val="28"/>
          <w:szCs w:val="28"/>
        </w:rPr>
        <w:t>ыхове (спортзал), введена в строй ледовая арена в г.Шклове и физкультурно-спортивный комплекс в г.п.Краснополье. В 2017 году введен в строй физкультурно-спортивный комплекс в г</w:t>
      </w:r>
      <w:proofErr w:type="gramStart"/>
      <w:r w:rsidRPr="00DA6B18">
        <w:rPr>
          <w:rFonts w:ascii="Times New Roman" w:hAnsi="Times New Roman"/>
          <w:sz w:val="28"/>
          <w:szCs w:val="28"/>
        </w:rPr>
        <w:t>.К</w:t>
      </w:r>
      <w:proofErr w:type="gramEnd"/>
      <w:r w:rsidRPr="00DA6B18">
        <w:rPr>
          <w:rFonts w:ascii="Times New Roman" w:hAnsi="Times New Roman"/>
          <w:sz w:val="28"/>
          <w:szCs w:val="28"/>
        </w:rPr>
        <w:t>остюковичи. Завершена реконструкция бассейна в г</w:t>
      </w:r>
      <w:proofErr w:type="gramStart"/>
      <w:r w:rsidRPr="00DA6B18">
        <w:rPr>
          <w:rFonts w:ascii="Times New Roman" w:hAnsi="Times New Roman"/>
          <w:sz w:val="28"/>
          <w:szCs w:val="28"/>
        </w:rPr>
        <w:t>.Г</w:t>
      </w:r>
      <w:proofErr w:type="gramEnd"/>
      <w:r w:rsidRPr="00DA6B18">
        <w:rPr>
          <w:rFonts w:ascii="Times New Roman" w:hAnsi="Times New Roman"/>
          <w:sz w:val="28"/>
          <w:szCs w:val="28"/>
        </w:rPr>
        <w:t>луске. Введен в эксплуатацию бассейн, тренажерный и 2 спортивных зала в средней школе г</w:t>
      </w:r>
      <w:proofErr w:type="gramStart"/>
      <w:r w:rsidRPr="00DA6B18">
        <w:rPr>
          <w:rFonts w:ascii="Times New Roman" w:hAnsi="Times New Roman"/>
          <w:sz w:val="28"/>
          <w:szCs w:val="28"/>
        </w:rPr>
        <w:t>.К</w:t>
      </w:r>
      <w:proofErr w:type="gramEnd"/>
      <w:r w:rsidRPr="00DA6B18">
        <w:rPr>
          <w:rFonts w:ascii="Times New Roman" w:hAnsi="Times New Roman"/>
          <w:sz w:val="28"/>
          <w:szCs w:val="28"/>
        </w:rPr>
        <w:t>ричева. В 2018 году введен в эксплуатацию физкультурно-оздоровительный центр «Жемчужина» в г</w:t>
      </w:r>
      <w:proofErr w:type="gramStart"/>
      <w:r w:rsidRPr="00DA6B18">
        <w:rPr>
          <w:rFonts w:ascii="Times New Roman" w:hAnsi="Times New Roman"/>
          <w:sz w:val="28"/>
          <w:szCs w:val="28"/>
        </w:rPr>
        <w:t>.О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сиповичи,  бассейн, 2 тренажерных и 2 спортивных зала в средней школе г.Бобруйска. В 2019  году </w:t>
      </w:r>
      <w:proofErr w:type="spellStart"/>
      <w:r w:rsidRPr="00DA6B18">
        <w:rPr>
          <w:rFonts w:ascii="Times New Roman" w:hAnsi="Times New Roman"/>
          <w:sz w:val="28"/>
          <w:szCs w:val="28"/>
        </w:rPr>
        <w:t>з</w:t>
      </w:r>
      <w:proofErr w:type="spellEnd"/>
      <w:r w:rsidRPr="00DA6B18">
        <w:rPr>
          <w:rFonts w:ascii="Times New Roman" w:hAnsi="Times New Roman"/>
          <w:sz w:val="28"/>
          <w:szCs w:val="28"/>
          <w:lang w:val="be-BY"/>
        </w:rPr>
        <w:t xml:space="preserve">авершено строительство футбольного манежа и реконструкция </w:t>
      </w:r>
      <w:r w:rsidRPr="00DA6B18">
        <w:rPr>
          <w:rFonts w:ascii="Times New Roman" w:hAnsi="Times New Roman"/>
          <w:sz w:val="28"/>
          <w:szCs w:val="28"/>
        </w:rPr>
        <w:t>«</w:t>
      </w:r>
      <w:r w:rsidRPr="00DA6B18">
        <w:rPr>
          <w:rFonts w:ascii="Times New Roman" w:hAnsi="Times New Roman"/>
          <w:sz w:val="28"/>
          <w:szCs w:val="28"/>
          <w:lang w:val="be-BY"/>
        </w:rPr>
        <w:t>Космос-корта</w:t>
      </w:r>
      <w:r w:rsidRPr="00DA6B18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DA6B18">
        <w:rPr>
          <w:rFonts w:ascii="Times New Roman" w:hAnsi="Times New Roman"/>
          <w:sz w:val="28"/>
          <w:szCs w:val="28"/>
          <w:lang w:val="be-BY"/>
        </w:rPr>
        <w:t>в</w:t>
      </w:r>
      <w:r w:rsidRPr="00DA6B18">
        <w:rPr>
          <w:rFonts w:ascii="Times New Roman" w:hAnsi="Times New Roman"/>
          <w:sz w:val="28"/>
          <w:szCs w:val="28"/>
        </w:rPr>
        <w:t>ведены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 в эксплуатацию 2 тренажерных и  спортивный зал в средней школе </w:t>
      </w:r>
      <w:r w:rsidRPr="00DA6B18">
        <w:rPr>
          <w:rFonts w:ascii="Times New Roman" w:hAnsi="Times New Roman"/>
          <w:sz w:val="28"/>
          <w:szCs w:val="28"/>
          <w:lang w:val="be-BY"/>
        </w:rPr>
        <w:t xml:space="preserve">в Могилеве. </w:t>
      </w:r>
      <w:r w:rsidRPr="00DA6B18">
        <w:rPr>
          <w:rFonts w:ascii="Times New Roman" w:hAnsi="Times New Roman"/>
          <w:sz w:val="28"/>
          <w:szCs w:val="28"/>
        </w:rPr>
        <w:t>Проведена реконструкция городского стадиона в Глуске.</w:t>
      </w:r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Проведена значительная работа по укреплению материально-технической базы организаций сферы культуры.</w:t>
      </w:r>
    </w:p>
    <w:p w:rsidR="00282307" w:rsidRPr="00DA6B18" w:rsidRDefault="00282307" w:rsidP="00282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B18">
        <w:rPr>
          <w:rFonts w:ascii="Times New Roman" w:hAnsi="Times New Roman"/>
          <w:sz w:val="28"/>
          <w:szCs w:val="28"/>
        </w:rPr>
        <w:t xml:space="preserve">В 2016 году введено в эксплуатацию здание районного Дома культуры в </w:t>
      </w:r>
      <w:proofErr w:type="gramStart"/>
      <w:r w:rsidRPr="00DA6B18">
        <w:rPr>
          <w:rFonts w:ascii="Times New Roman" w:hAnsi="Times New Roman"/>
          <w:sz w:val="28"/>
          <w:szCs w:val="28"/>
        </w:rPr>
        <w:t>г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. Черикове. В 2017 году проведена реконструкция зданий районного Дома культуры и детской школы искусств </w:t>
      </w:r>
      <w:proofErr w:type="gramStart"/>
      <w:r w:rsidRPr="00DA6B18">
        <w:rPr>
          <w:rFonts w:ascii="Times New Roman" w:hAnsi="Times New Roman"/>
          <w:sz w:val="28"/>
          <w:szCs w:val="28"/>
        </w:rPr>
        <w:t>г</w:t>
      </w:r>
      <w:proofErr w:type="gramEnd"/>
      <w:r w:rsidRPr="00DA6B18">
        <w:rPr>
          <w:rFonts w:ascii="Times New Roman" w:hAnsi="Times New Roman"/>
          <w:sz w:val="28"/>
          <w:szCs w:val="28"/>
        </w:rPr>
        <w:t>. </w:t>
      </w:r>
      <w:proofErr w:type="spellStart"/>
      <w:r w:rsidRPr="00DA6B18">
        <w:rPr>
          <w:rFonts w:ascii="Times New Roman" w:hAnsi="Times New Roman"/>
          <w:sz w:val="28"/>
          <w:szCs w:val="28"/>
        </w:rPr>
        <w:t>Кличева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. </w:t>
      </w:r>
      <w:r w:rsidRPr="00DA6B18">
        <w:rPr>
          <w:rFonts w:ascii="Times New Roman" w:hAnsi="Times New Roman"/>
          <w:sz w:val="28"/>
          <w:szCs w:val="28"/>
          <w:shd w:val="clear" w:color="auto" w:fill="FFFFFF"/>
        </w:rPr>
        <w:t>В 2018 году в г</w:t>
      </w:r>
      <w:proofErr w:type="gramStart"/>
      <w:r w:rsidRPr="00DA6B18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Pr="00DA6B18">
        <w:rPr>
          <w:rFonts w:ascii="Times New Roman" w:hAnsi="Times New Roman"/>
          <w:sz w:val="28"/>
          <w:szCs w:val="28"/>
          <w:shd w:val="clear" w:color="auto" w:fill="FFFFFF"/>
        </w:rPr>
        <w:t xml:space="preserve">огилеве выполнены масштабные работы по капитальному ремонту здания Дворца культуры области в г.Могилеве, реконструирован музей </w:t>
      </w:r>
      <w:proofErr w:type="spellStart"/>
      <w:r w:rsidRPr="00DA6B18">
        <w:rPr>
          <w:rFonts w:ascii="Times New Roman" w:hAnsi="Times New Roman"/>
          <w:sz w:val="28"/>
          <w:szCs w:val="28"/>
          <w:shd w:val="clear" w:color="auto" w:fill="FFFFFF"/>
        </w:rPr>
        <w:t>В.К.Бялыницкого-Бирули</w:t>
      </w:r>
      <w:proofErr w:type="spellEnd"/>
      <w:r w:rsidRPr="00DA6B18">
        <w:rPr>
          <w:rFonts w:ascii="Times New Roman" w:hAnsi="Times New Roman"/>
          <w:sz w:val="28"/>
          <w:szCs w:val="28"/>
          <w:shd w:val="clear" w:color="auto" w:fill="FFFFFF"/>
        </w:rPr>
        <w:t>, открыты 3 новых корпуса детских школ искусств. В 2019 году открыты и введены в эксплуатацию после реконструкции здание районного Дома культуры в г</w:t>
      </w:r>
      <w:proofErr w:type="gramStart"/>
      <w:r w:rsidRPr="00DA6B18">
        <w:rPr>
          <w:rFonts w:ascii="Times New Roman" w:hAnsi="Times New Roman"/>
          <w:sz w:val="28"/>
          <w:szCs w:val="28"/>
          <w:shd w:val="clear" w:color="auto" w:fill="FFFFFF"/>
        </w:rPr>
        <w:t>.Ч</w:t>
      </w:r>
      <w:proofErr w:type="gramEnd"/>
      <w:r w:rsidRPr="00DA6B18">
        <w:rPr>
          <w:rFonts w:ascii="Times New Roman" w:hAnsi="Times New Roman"/>
          <w:sz w:val="28"/>
          <w:szCs w:val="28"/>
          <w:shd w:val="clear" w:color="auto" w:fill="FFFFFF"/>
        </w:rPr>
        <w:t xml:space="preserve">аусы, Центр культуры и досуга в г.п.Глуске. 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За последние годы в городах Могилеве и Бобруйске построены </w:t>
      </w:r>
      <w:r w:rsidRPr="00DA6B18">
        <w:rPr>
          <w:rFonts w:ascii="Times New Roman" w:hAnsi="Times New Roman"/>
          <w:sz w:val="28"/>
          <w:szCs w:val="28"/>
        </w:rPr>
        <w:br/>
        <w:t xml:space="preserve">пять детских садов на 1055 мест. В 2019 году завершено строительство детского сада на 40 мест </w:t>
      </w:r>
      <w:proofErr w:type="gramStart"/>
      <w:r w:rsidRPr="00DA6B1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A6B18">
        <w:rPr>
          <w:rFonts w:ascii="Times New Roman" w:hAnsi="Times New Roman"/>
          <w:sz w:val="28"/>
          <w:szCs w:val="28"/>
        </w:rPr>
        <w:t>аг</w:t>
      </w:r>
      <w:proofErr w:type="spellEnd"/>
      <w:proofErr w:type="gramEnd"/>
      <w:r w:rsidRPr="00DA6B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6B18">
        <w:rPr>
          <w:rFonts w:ascii="Times New Roman" w:hAnsi="Times New Roman"/>
          <w:sz w:val="28"/>
          <w:szCs w:val="28"/>
        </w:rPr>
        <w:t>Добрейка</w:t>
      </w:r>
      <w:proofErr w:type="spellEnd"/>
      <w:r w:rsidRPr="00DA6B18">
        <w:rPr>
          <w:rFonts w:ascii="Times New Roman" w:hAnsi="Times New Roman"/>
          <w:sz w:val="28"/>
          <w:szCs w:val="28"/>
        </w:rPr>
        <w:t xml:space="preserve"> Шкловского района, проведена реконструкция яслей-сада </w:t>
      </w:r>
      <w:proofErr w:type="gramStart"/>
      <w:r w:rsidRPr="00DA6B1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A6B18">
        <w:rPr>
          <w:rFonts w:ascii="Times New Roman" w:hAnsi="Times New Roman"/>
          <w:sz w:val="28"/>
          <w:szCs w:val="28"/>
        </w:rPr>
        <w:t>аг</w:t>
      </w:r>
      <w:proofErr w:type="spellEnd"/>
      <w:proofErr w:type="gramEnd"/>
      <w:r w:rsidRPr="00DA6B18">
        <w:rPr>
          <w:rFonts w:ascii="Times New Roman" w:hAnsi="Times New Roman"/>
          <w:sz w:val="28"/>
          <w:szCs w:val="28"/>
        </w:rPr>
        <w:t>. Восход Могилевского района.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Введены в эксплуатацию четыре средние школы по 1020 мест в микрорайонах «Комсомольский» г</w:t>
      </w:r>
      <w:proofErr w:type="gramStart"/>
      <w:r w:rsidRPr="00DA6B18">
        <w:rPr>
          <w:rFonts w:ascii="Times New Roman" w:hAnsi="Times New Roman"/>
          <w:sz w:val="28"/>
          <w:szCs w:val="28"/>
        </w:rPr>
        <w:t>.К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ричева, «Западный» г.Бобруйска, </w:t>
      </w:r>
      <w:r w:rsidRPr="00DA6B18">
        <w:rPr>
          <w:rFonts w:ascii="Times New Roman" w:hAnsi="Times New Roman"/>
          <w:sz w:val="28"/>
          <w:szCs w:val="28"/>
        </w:rPr>
        <w:lastRenderedPageBreak/>
        <w:t>«Спутник» и «Казимировка» г.Могилева. Осуществлено строительство пристройки к средней школе № 1 г</w:t>
      </w:r>
      <w:proofErr w:type="gramStart"/>
      <w:r w:rsidRPr="00DA6B18">
        <w:rPr>
          <w:rFonts w:ascii="Times New Roman" w:hAnsi="Times New Roman"/>
          <w:sz w:val="28"/>
          <w:szCs w:val="28"/>
        </w:rPr>
        <w:t>.С</w:t>
      </w:r>
      <w:proofErr w:type="gramEnd"/>
      <w:r w:rsidRPr="00DA6B18">
        <w:rPr>
          <w:rFonts w:ascii="Times New Roman" w:hAnsi="Times New Roman"/>
          <w:sz w:val="28"/>
          <w:szCs w:val="28"/>
        </w:rPr>
        <w:t xml:space="preserve">лавгорода с реконструкцией существующей. 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эксплуатировавшихся не по назначению. 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средств Инвестиционной программы Могилевской области, еще 9 объектов планируется ввести в эксплуатацию в 2020-2021годах.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18">
        <w:rPr>
          <w:rFonts w:ascii="Times New Roman" w:hAnsi="Times New Roman"/>
          <w:sz w:val="28"/>
          <w:szCs w:val="28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  <w:proofErr w:type="gramEnd"/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обеспечение роста экспорта услуг темпами, опережающими экспорт товаров;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вовлечение малого и среднего бизнеса в сферу создания новых высокотехнологичных производств;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реструктуризация и финансовое оздоровление неплатежеспособных организаций;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282307" w:rsidRPr="00DA6B18" w:rsidRDefault="00282307" w:rsidP="002823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18">
        <w:rPr>
          <w:rFonts w:ascii="Times New Roman" w:hAnsi="Times New Roman"/>
          <w:sz w:val="28"/>
          <w:szCs w:val="28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282307" w:rsidRPr="00DA6B18" w:rsidRDefault="00282307" w:rsidP="002823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2307" w:rsidRPr="00DA6B18" w:rsidRDefault="00282307" w:rsidP="002823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A6B18">
        <w:rPr>
          <w:rFonts w:ascii="Times New Roman" w:hAnsi="Times New Roman"/>
          <w:i/>
          <w:sz w:val="28"/>
          <w:szCs w:val="28"/>
        </w:rPr>
        <w:t xml:space="preserve">Материал подготовлен на основании информаций, </w:t>
      </w:r>
    </w:p>
    <w:p w:rsidR="00282307" w:rsidRPr="00DA6B18" w:rsidRDefault="00282307" w:rsidP="002823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DA6B18">
        <w:rPr>
          <w:rFonts w:ascii="Times New Roman" w:hAnsi="Times New Roman"/>
          <w:i/>
          <w:sz w:val="28"/>
          <w:szCs w:val="28"/>
        </w:rPr>
        <w:t>представленных</w:t>
      </w:r>
      <w:proofErr w:type="gramEnd"/>
      <w:r w:rsidRPr="00DA6B18">
        <w:rPr>
          <w:rFonts w:ascii="Times New Roman" w:hAnsi="Times New Roman"/>
          <w:i/>
          <w:sz w:val="28"/>
          <w:szCs w:val="28"/>
        </w:rPr>
        <w:t xml:space="preserve"> структурными </w:t>
      </w:r>
    </w:p>
    <w:p w:rsidR="00282307" w:rsidRPr="00DA6B18" w:rsidRDefault="00282307" w:rsidP="002823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A6B18">
        <w:rPr>
          <w:rFonts w:ascii="Times New Roman" w:hAnsi="Times New Roman"/>
          <w:i/>
          <w:sz w:val="28"/>
          <w:szCs w:val="28"/>
        </w:rPr>
        <w:t>подразделениями облисполкома</w:t>
      </w:r>
    </w:p>
    <w:p w:rsidR="00282307" w:rsidRPr="00DA6B18" w:rsidRDefault="00282307" w:rsidP="0028230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ПРАВИЛА СОБЛЮДАЕМ – ЖИЗНЬ СОХРАНЯЕМ!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Гибель людей на воде, к сожалению, остаётся актуальной из года в год. Особое место в этом занимает купальный сезон. На этот период приходится до 85%  погибших от удушения водой в течение года. Не стал исключением 2019 год – 56,6%.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Начало купального сезона 2020 года диктуют погодные условия. Официально оно  определенно - с 1 июня. К этой дате должны быть закончены работы по подготовке территории пляжа и пляжного оборудования. Спасательные станции и посты начинают работу в летнем режиме.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Несмотря на климатические сложности купального сезона 2019 года, в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результате принятых мер число погибших от удушения водой удалось удержать в пределах 48 человек, в том числе 4 подростков.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Погибли в домашних ваннах – 5 человек, в ходе рыбалки и охоты - 8, совершили суицид - 3. Из 13 человек, погибших при купании 9 (69,2%) были в нетрезвом состоянии.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Основными причинами гибели людей на водах области явились: 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несоблюдение Правил охраны жизни людей на водах Республики Беларусь; купание в неохраняемых спасательной службой ОСВОД водоёмах; нахождение в состоянии алкогольного опьянения; оставление детей без присмотра.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С начала 2020 года по сегодняшний день, предположительно от удушения водой, в области погибли 11 человек. Из них 6 человек в ванной комнате, 1 провалился под лед, 4 оказались в воде помимо своей воли из-за несоблюдения правил поведения у воды.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Каждый из купальных сезонов имеет свои особенности, но правила поведения на воде и у воды остаются неизменными.</w:t>
      </w:r>
    </w:p>
    <w:bookmarkEnd w:id="0"/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Самый комфортный температурный режим для начала купания, когда температура воды составляет +18С, а воздуха свыше + 20С.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душа». Когда резко сокращаются мышцы, обжимаются кровеносные сосуды и внутренние органы. При этом возможна потеря сознания, остановка сердца.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: В 2014 году в период с 20 мая по 8 июня во время резкого повышения температуры воздуха утонули 9 человек и 7 человек, погибшие по другим причинам, были обнаружены в воде.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Следовательно,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Правило 1-ое</w:t>
      </w: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Купание следует начинать в солнечную погоду при температуре воды 18-20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о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С, воздуха 20-25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о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С. </w:t>
      </w:r>
      <w:proofErr w:type="gramStart"/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Нельзя входить в воду, нырять в 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 </w:t>
      </w:r>
      <w:proofErr w:type="gramEnd"/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Теплопроводность воды в четыре раза больше, чем воздуха.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Организм человека начинает переохлаждаться, если он длительное время находится в воде.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Необходимо: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Правило 2-ое</w:t>
      </w: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Не умея плавать – нельзя заходить в воду выше пояса. При наличии течения не умеющим плавать вообще нельзя входить в воду, тем более учиться плавать в таких местах.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Правило 3-е:</w:t>
      </w: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Не купайтесь натощак и раньше 1,5 - 2 часа после еды.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Правило 4-ое</w:t>
      </w: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 заплывах умейте правильно рассчитывать свои силы. Во время купания не доводите себя до озноба. Помните, что длительное пребывание в воде может привести к судорожному сокращению мышц и другим негативным влияниям.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Правило 5-ое: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Вода не любит паники! Чтобы с Вами не произошло на воде – не пугайтесь. Выбирайте для купания безопасные, а лучше специально                                        отведенные для этого места.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Теоретически, человек, умеющий плавать, а, следовательно – держаться на воде, утонуть не может!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ПОМНИТЕ! 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судорогах -  измените, способ плавания с целью уменьшения нагрузки на сведенные мышцы, ускоряя их расслабление, и плавно плывите к берегу. В случае судороги мышц </w:t>
      </w:r>
      <w:proofErr w:type="spellStart"/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голеностопа</w:t>
      </w:r>
      <w:proofErr w:type="spellEnd"/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Если Вы попали на участок с водорослями и запутались – не делайте резких движений, а лежа на спине плавными, тихими  движениями,  с помощью рук освободитесь от них, и плывите обратно тем же путем.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Вы должны помнить о том, что Вы умеете держаться на воде.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дств сп</w:t>
      </w:r>
      <w:proofErr w:type="gramEnd"/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асения (жилетов, нарукавников, манишек).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отдыхе на водоемах ЗАПРЕЩАЕТСЯ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заплывать за знаки ограждения и предупреждающие знаки;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купаться и нырять в запрещенных и неизвестных местах;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прыгать в воду с дамб, пристаней, катеров, лодок, плотов, подплывать близко к идущим судам;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подавать ложные сигналы бедствия;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перемещаться в лодке с места на место при катании;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загрязнять и засорять водоемы;</w:t>
      </w:r>
    </w:p>
    <w:p w:rsidR="00282307" w:rsidRPr="00DA6B18" w:rsidRDefault="00282307" w:rsidP="002823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купаться в состоянии алкогольного опьянения.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Алкоголь и отдых на водоеме – вещи не совместимые! В 2018 году на водоемах области при купании погибли 16 человек, из них </w:t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12 (75%) были в нетрезвом состоянии.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Вода не прощает беспечности, тем более пренебрежения опасностью.</w:t>
      </w:r>
    </w:p>
    <w:p w:rsidR="00282307" w:rsidRPr="00DA6B18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  <w:t>Могилевская областная</w:t>
      </w: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6B18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  <w:t>организация РГОО ОСВОД</w:t>
      </w:r>
    </w:p>
    <w:p w:rsidR="00282307" w:rsidRPr="00DA6B18" w:rsidRDefault="00282307" w:rsidP="00282307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2307" w:rsidRPr="00DA6B18" w:rsidRDefault="00282307" w:rsidP="00282307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«О СОСТОЯНИИ ТРАВМАТИЗМА В ЭНЕРГОУСТАНОВКАХ ПОТРЕБИТЕЛЕЙ МОГИЛЕВСКОЙ ОБЛАСТИ ЗА 2019 ГОД И МЕРАХ ПО ЕГО ПРЕДОТВРАЩЕНИЮ В 2020 ГОДУ»</w:t>
      </w:r>
    </w:p>
    <w:p w:rsidR="00282307" w:rsidRPr="00DA6B18" w:rsidRDefault="00282307" w:rsidP="00282307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Республике Беларусь произошел 21 несчастный случай от поражения электрическим током с персоналом потребителей и среди населения на объектах, поднадзорных органу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Госэнергогазнадзора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. В 2018 году таких несчастных случаев было 24. При этом в 2019 году пострадало 22 человека (в 2018 году – 24), из них 14 человек погибло (в 2018 году – 12), 8 получили травмы различной степени тяжести (в 2018 году – 12).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целом по республике уровень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электротравматизма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производстве по сравнению с 2018 годом остался на прежнем уровне. Произошло 11 несчастных случаев (в 2018 - 11), из которых 6 - со смертельным исходом (в 2018 - 3) и 5 - с тяжелым исходом (в 2017 - 8).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br/>
        <w:t>В Могилевской области в 2019 году было зарегистрировано 4 несчастных случая от поражения электрическим током на производстве, в 2018 году – 3.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30 июля 2019 года на территории воинской части н.п.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Большая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Горожа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Осиповичского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произошел несчастный случай с тяжелым исходом с подсобным рабочим по договору подряда общества с ограниченной ответственностью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ТеслаПром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br/>
        <w:t>При выполнении работ на объекте строительства при осуществлении подготовительных работ по монтажу электрического шкафа ЯБПВУ-1м на наружной стене здания кладовой для хранения горюче-смазочных и лакокрасочных материалов подсобный рабочий ООО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ТеслаПром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» коснулся жил кабеля, предварительно проложенного для электроснабжения вышеуказанного шкафа, в результате чего получил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электротравму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был доставлен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УЗ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Осиповичская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больница», где был установлен диагноз: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электротравма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дуги 380 В.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Электроожог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левого предплечья III Б степени».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br/>
        <w:t>Кабель был проложен от вводного устройства, подключен к верхним контактам рубильника ВР-32 (250А) в водном устройстве и оказался под напряжением вследствие временного подключения вновь смонтированных электроустановок цеха к электрической сети для проведения пусконаладочных работ. Основными причинами несчастного случая явились: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- самовольное присоединение вновь смонтированных участков электроустановок к действующим электроустановкам персоналом сторонней (не эксплуатирующей) организации без соблюдения организационных и технических мероприятий, обеспечивающих безопасное проведение работ;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- производство переключений в электрических схемах подстанций и щитов персоналом, который непосредственно не обслуживает данные электроустановки;</w:t>
      </w:r>
      <w:proofErr w:type="gramEnd"/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- отсутствие контроля со стороны эксплуатирующей организации за выполнением требований по охране труда, обеспечивающих защиту персонала сторонней организации от поражения электрическим током и наведенного напряжения, за правильностью допуска персонала строительно-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монтажных и специализированных организаций к работам в действующих электроустановках;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порядка хранения и выдачи ключей от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электропомещений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23 августа 2019 года в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Белыничском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агрогородке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Вишов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произошел несчастный случай со смертельным исходом с трактористом-машинистом СПК «Колхоз Родина», который единолично проводил обслуживание зерноуборочного комбайна под воздушной линией электропередачи напряжением 10 000 В (далее -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) и был обнаружен заведующим мастерскими без признаков жизни. Приехавшая бригада скорой медицинской помощи констатировала смерть. С двух сторон кабины зерноуборочного комбайна были установлены предупреждающие знаки по соблюдению техники безопасности при работе в охранных зонах ВЛ. С механизаторами СПК «Колхоз Родина» был проведен инструктаж «Об обеспечении безопасных работ в охранных зонах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причиной несчастного случая явилось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потерпевшим требований локальных нормативных правовых актов по охране труда, выразившиеся в остановке комбайна «Полесье GS 12 А1» под ВЛ и последующее совершение действий на его крыше.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br/>
        <w:t>3 сентября 2019 года произошел несчастный случай с тяжелым исходом на территории открытого акционерного общества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Белшина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» г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обруйск, электромонтером охранно-пожарных сигнализаций общества с дополнительной ответственностью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БрандСтройПроект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», г.Могилев.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03.09.2019 потерпевший, работая на высоте, выполнял работы по укладке оптико-волоконного кабеля на технологической вставке в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сборочном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цеху завода крупногабаритных шин ОАО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Белшина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договору субподряда. Работая с приставной лестницы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магистрального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шинопровода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32ШМ-1 встал на него. В результате продавливания кожуха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шинопровода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собственным весом потерпевшего произошло короткое замыкание, и образовавшейся электрической дугой он получил термический ожог нижней части левой ноги. Члены бригады совместно с медработником медпункта ОАО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Белшина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» оказали первую медицинскую помощь пострадавшему и на автомобиле медпункта доставили его в больницу.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Работы по укладке оптико-волоконного кабеля проводились без оформления наряда на проведение работ повышенной опасности. Вводный инструктаж с потерпевшим на ОАО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Белшина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» проведен не был.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несчастного случая явились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Межотраслевых общих правил по охране труда, Правил по охране труда при выполнении строительных работ, договора подряда (субподряда).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7 октября 2019 года произошел несчастный случай с электромонтером по ремонту и обслуживанию электрооборудования 3-го разряда энергосилового цеха №9 ОАО «Могилевский завод «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Строммашина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»».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07.10.2019 потерпевший получил устное задание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по подключению удлинителя в шкафу управления ванной хрома на гальваническом участке цеха товаров народного потребления от руководителя стажировки электромонтера по ремонту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обслуживанию электрооборудования 6-го </w:t>
      </w: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разряда энергосилового цеха. Подготовка рабочего места не проводилась (не было снято напряжение с токоведущих частей автоматического выключателя 0,4 кВ, к которым подключался удлинитель, не проверено отсутствие напряжения после отключения в точке присоединения удлинителя). При подключении удлинителя потерпевший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снял крышку автоматического выключателя 0,4 кВ типа АП-50 и в момент присоединения проводника удлинителя к нижним клеммам не отключенного автоматического выключателя произошло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короткое замыкание между двумя фазами. В результате возникшей электрической дуги потерпевший получил повреждение левого глаза (ожог роговицы).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несчастного случая явились: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выполнение потерпевшим работ по подключению удлинителя без снятия напряжения, без проверки отсутствия напряжения на токоведущих частях;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работ потерпевшим, не имеющим группы по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электробезопасности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, по подключению удлинителя без получения разрешения уполномоченного на это лица (ответственного за электрохозяйство, мастера или административно-технических работников, имеющих на это право);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выдача задания руководителем стажировки пострадавшему по подключению удлинителя в шкафу управления ванной хрома без подготовки рабочего места (не снято напряжение с токоведущих частей автоматического выключателя 0,4 кВ, к которым должен был подключаться удлинитель, без проверки отсутствия напряжения после отключения в точке присоединения удлинителя);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действиями подчиненного персонала со стороны мастера участка по ремонту и обслуживанию электрооборудования энергосилового цеха, невыдача задания на выполнение работ повышенной опасности и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непроведение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инструктажа по безопасности труда.</w:t>
      </w:r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обстоятельств и причин несчастных случаев по республике, связанных с поражением электрическим током, показывает, что причинами </w:t>
      </w:r>
      <w:proofErr w:type="spellStart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электротравматизма</w:t>
      </w:r>
      <w:proofErr w:type="spellEnd"/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являются, как правило, невыполнение персоналом потребителей требований НПА и ТНПА, устанавливающих правила устройства, технической эксплуатации и техники безопасности при эксплуатации электроустановок, в том числе: невыполнение организационных мероприятий; невыполнение технических мероприятий; нарушения Правил охраны электрических сетей напряжением свыше 1000 В.</w:t>
      </w:r>
      <w:proofErr w:type="gramEnd"/>
    </w:p>
    <w:p w:rsidR="00282307" w:rsidRPr="00DA6B18" w:rsidRDefault="00282307" w:rsidP="002823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18">
        <w:rPr>
          <w:rFonts w:ascii="Times New Roman" w:eastAsia="Times New Roman" w:hAnsi="Times New Roman"/>
          <w:sz w:val="28"/>
          <w:szCs w:val="28"/>
          <w:lang w:eastAsia="ru-RU"/>
        </w:rPr>
        <w:t>Кроме того, в числе причин – формальное проведение инструктажей, проведение работ без применения электрозащитных средств, слабый контроль со стороны работников, ответственных за безопасность производства работ в действующих электроустановках, а также самовольные действия пострадавших, выполнение работ в состоянии алкогольного опьянения, личная неосторожность пострадавших и низкая производственная дисциплина.</w:t>
      </w:r>
    </w:p>
    <w:p w:rsidR="00282307" w:rsidRPr="00282307" w:rsidRDefault="00282307" w:rsidP="00282307">
      <w:pPr>
        <w:spacing w:after="0" w:line="240" w:lineRule="auto"/>
        <w:ind w:left="4956" w:firstLine="708"/>
        <w:rPr>
          <w:rFonts w:ascii="Times New Roman" w:eastAsia="Times New Roman" w:hAnsi="Times New Roman"/>
          <w:i/>
          <w:lang w:eastAsia="ru-RU"/>
        </w:rPr>
      </w:pPr>
      <w:r w:rsidRPr="00282307">
        <w:rPr>
          <w:rFonts w:ascii="Times New Roman" w:eastAsia="Times New Roman" w:hAnsi="Times New Roman"/>
          <w:i/>
          <w:lang w:eastAsia="ru-RU"/>
        </w:rPr>
        <w:t xml:space="preserve">Филиал </w:t>
      </w:r>
      <w:proofErr w:type="spellStart"/>
      <w:r w:rsidRPr="00282307">
        <w:rPr>
          <w:rFonts w:ascii="Times New Roman" w:eastAsia="Times New Roman" w:hAnsi="Times New Roman"/>
          <w:i/>
          <w:lang w:eastAsia="ru-RU"/>
        </w:rPr>
        <w:t>Госэнергогазнадзора</w:t>
      </w:r>
      <w:proofErr w:type="spellEnd"/>
      <w:r w:rsidRPr="00282307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282307" w:rsidRPr="00282307" w:rsidRDefault="00282307" w:rsidP="00282307">
      <w:pPr>
        <w:spacing w:after="0" w:line="240" w:lineRule="auto"/>
        <w:jc w:val="right"/>
        <w:rPr>
          <w:i/>
        </w:rPr>
      </w:pPr>
      <w:r w:rsidRPr="00282307">
        <w:rPr>
          <w:rFonts w:ascii="Times New Roman" w:eastAsia="Times New Roman" w:hAnsi="Times New Roman"/>
          <w:i/>
          <w:lang w:eastAsia="ru-RU"/>
        </w:rPr>
        <w:t>по Могилевской области</w:t>
      </w:r>
    </w:p>
    <w:p w:rsidR="00282307" w:rsidRPr="00282307" w:rsidRDefault="00282307" w:rsidP="00282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1707CD" w:rsidRPr="00282307" w:rsidRDefault="001707CD"/>
    <w:sectPr w:rsidR="001707CD" w:rsidRPr="00282307" w:rsidSect="000E0F3A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1" w:rsidRDefault="002823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5C2F"/>
    <w:multiLevelType w:val="singleLevel"/>
    <w:tmpl w:val="650A8A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2307"/>
    <w:rsid w:val="001707CD"/>
    <w:rsid w:val="0028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307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823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2307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282307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7"/>
    <w:rsid w:val="00282307"/>
    <w:rPr>
      <w:i/>
      <w:iCs/>
      <w:sz w:val="29"/>
      <w:szCs w:val="29"/>
    </w:rPr>
  </w:style>
  <w:style w:type="character" w:customStyle="1" w:styleId="4">
    <w:name w:val="Основной текст (4)_"/>
    <w:basedOn w:val="a0"/>
    <w:link w:val="40"/>
    <w:rsid w:val="00282307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282307"/>
    <w:rPr>
      <w:i/>
      <w:iCs/>
      <w:sz w:val="28"/>
      <w:szCs w:val="28"/>
    </w:rPr>
  </w:style>
  <w:style w:type="paragraph" w:customStyle="1" w:styleId="1">
    <w:name w:val="Основной текст1"/>
    <w:basedOn w:val="a"/>
    <w:link w:val="a7"/>
    <w:rsid w:val="0028230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282307"/>
    <w:pPr>
      <w:shd w:val="clear" w:color="auto" w:fill="FFFFFF"/>
      <w:spacing w:after="0" w:line="341" w:lineRule="exact"/>
      <w:jc w:val="both"/>
    </w:pPr>
    <w:rPr>
      <w:rFonts w:asciiTheme="minorHAnsi" w:eastAsiaTheme="minorHAnsi" w:hAnsiTheme="minorHAnsi" w:cstheme="minorBidi"/>
      <w:sz w:val="29"/>
      <w:szCs w:val="29"/>
    </w:rPr>
  </w:style>
  <w:style w:type="paragraph" w:customStyle="1" w:styleId="Style4">
    <w:name w:val="Style4"/>
    <w:basedOn w:val="a"/>
    <w:rsid w:val="00282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8230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5713</Words>
  <Characters>32566</Characters>
  <Application>Microsoft Office Word</Application>
  <DocSecurity>0</DocSecurity>
  <Lines>271</Lines>
  <Paragraphs>76</Paragraphs>
  <ScaleCrop>false</ScaleCrop>
  <Company/>
  <LinksUpToDate>false</LinksUpToDate>
  <CharactersWithSpaces>38203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2020-05-26T10:33:00Z</dcterms:created>
  <dcterms:modified xsi:type="dcterms:W3CDTF">2020-05-26T10:34:00Z</dcterms:modified>
</cp:coreProperties>
</file>