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МОГИЛЁВСКИЙ ОБЛАСТНОЙ ИСПОЛНИТЕЛЬНЫЙ КОМИТЕТ</w:t>
      </w: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ГЛАВНОЕ УПРАВЛЕНИЕ ИДЕОЛОГИЧЕСКОЙ РАБОТЫ</w:t>
      </w: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И ПО ДЕЛАМ МОЛОДЕЖИ</w:t>
      </w: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Pr="00E8268F" w:rsidRDefault="0035362C" w:rsidP="00353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268F">
        <w:rPr>
          <w:rFonts w:ascii="Times New Roman" w:hAnsi="Times New Roman"/>
          <w:b/>
          <w:sz w:val="32"/>
          <w:szCs w:val="32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35362C" w:rsidRDefault="0035362C" w:rsidP="0035362C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материал  для информационно-пропагандистских групп</w:t>
      </w:r>
    </w:p>
    <w:p w:rsidR="0035362C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Default="0035362C" w:rsidP="0035362C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г. Могилёв</w:t>
      </w:r>
    </w:p>
    <w:p w:rsidR="0035362C" w:rsidRPr="004E028E" w:rsidRDefault="0035362C" w:rsidP="0035362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октябрь</w:t>
      </w:r>
      <w:r w:rsidRPr="004E028E">
        <w:rPr>
          <w:rFonts w:ascii="Times New Roman" w:hAnsi="Times New Roman"/>
          <w:b/>
          <w:sz w:val="30"/>
          <w:szCs w:val="30"/>
          <w:lang w:eastAsia="ru-RU"/>
        </w:rPr>
        <w:t xml:space="preserve"> 2019 г.</w:t>
      </w:r>
    </w:p>
    <w:p w:rsidR="0035362C" w:rsidRDefault="0035362C" w:rsidP="00353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Default="0035362C" w:rsidP="00353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362C" w:rsidRPr="0079459F" w:rsidRDefault="0035362C" w:rsidP="00353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</w:rPr>
        <w:t xml:space="preserve">В соответствии с Указами Президента Республики Беларусь от </w:t>
      </w:r>
      <w:r w:rsidRPr="0079459F">
        <w:rPr>
          <w:rFonts w:ascii="Times New Roman" w:hAnsi="Times New Roman"/>
          <w:sz w:val="28"/>
          <w:szCs w:val="28"/>
        </w:rPr>
        <w:br/>
        <w:t xml:space="preserve">5 августа 2019 г. № 293 и № 294 назначены выборы в Национальное собрание Республики Беларусь </w:t>
      </w:r>
      <w:r w:rsidRPr="0079459F">
        <w:rPr>
          <w:rFonts w:ascii="Times New Roman" w:hAnsi="Times New Roman"/>
          <w:b/>
          <w:sz w:val="28"/>
          <w:szCs w:val="28"/>
        </w:rPr>
        <w:t xml:space="preserve">(на 7 ноября 2019 г. – в </w:t>
      </w:r>
      <w:r w:rsidRPr="0079459F">
        <w:rPr>
          <w:rFonts w:ascii="Times New Roman" w:hAnsi="Times New Roman"/>
          <w:b/>
          <w:spacing w:val="-8"/>
          <w:sz w:val="28"/>
          <w:szCs w:val="28"/>
        </w:rPr>
        <w:t>Совет Республики, 17 ноября 2019 г. – в Палату представителей)</w:t>
      </w:r>
      <w:r w:rsidRPr="0079459F">
        <w:rPr>
          <w:rFonts w:ascii="Times New Roman" w:hAnsi="Times New Roman"/>
          <w:spacing w:val="-8"/>
          <w:sz w:val="28"/>
          <w:szCs w:val="28"/>
        </w:rPr>
        <w:t>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Президент Республики Беларусь А.Г.Лукашенко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 подчеркивал, что «</w:t>
      </w:r>
      <w:r w:rsidRPr="0079459F">
        <w:rPr>
          <w:rFonts w:ascii="Times New Roman" w:hAnsi="Times New Roman"/>
          <w:b/>
          <w:sz w:val="28"/>
          <w:szCs w:val="28"/>
        </w:rPr>
        <w:t>парламент – это основа будущего</w:t>
      </w:r>
      <w:r w:rsidRPr="0079459F">
        <w:rPr>
          <w:rFonts w:ascii="Times New Roman" w:hAnsi="Times New Roman"/>
          <w:sz w:val="28"/>
          <w:szCs w:val="28"/>
        </w:rPr>
        <w:t>». Именно поэтому в ежегодном Послании к белорусскому народу и Национальному собранию Республики Беларусь Глава государства заявил, что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7945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построение государства для народа»</w:t>
      </w:r>
      <w:r w:rsidRPr="007945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5362C" w:rsidRPr="0079459F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 xml:space="preserve">16 сентября 2019 г. на встрече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председателем Палаты представителей Национального собрания В.П.Андрейченко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Президент Республики Беларусь А.Г.Лукашенко сказал: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главное,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»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35362C" w:rsidRPr="0079459F" w:rsidRDefault="0035362C" w:rsidP="0035362C">
      <w:pPr>
        <w:widowControl w:val="0"/>
        <w:spacing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spacing w:val="-4"/>
          <w:sz w:val="28"/>
          <w:szCs w:val="28"/>
        </w:rPr>
        <w:t>Глава государства</w:t>
      </w:r>
      <w:r w:rsidRPr="0079459F">
        <w:rPr>
          <w:rFonts w:ascii="Times New Roman" w:hAnsi="Times New Roman"/>
          <w:spacing w:val="-4"/>
          <w:sz w:val="28"/>
          <w:szCs w:val="28"/>
        </w:rPr>
        <w:t xml:space="preserve"> отметил, что страна нуждается в 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79459F">
        <w:rPr>
          <w:rFonts w:ascii="Times New Roman" w:hAnsi="Times New Roman"/>
          <w:spacing w:val="-6"/>
          <w:sz w:val="28"/>
          <w:szCs w:val="28"/>
        </w:rPr>
        <w:t>, а руководство принципом преемственности позволит обеспечить более профессиональную и эффективную работу</w:t>
      </w:r>
      <w:r w:rsidRPr="0079459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Парламента.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Развитие института парламентаризма в Республике Беларусь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Институт парламентаризма в Республике Беларусь имеет многовековую 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Посполитой,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9459F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79459F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 xml:space="preserve">формально самым </w:t>
      </w:r>
      <w:proofErr w:type="gramStart"/>
      <w:r w:rsidRPr="0079459F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древним</w:t>
      </w:r>
      <w:proofErr w:type="gramEnd"/>
      <w:r w:rsidRPr="0079459F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 xml:space="preserve"> действующим до сегодняшнего дня парламентом считается исландский альтинг, впервые созванный в 930 году.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27 июля 1990 года Верховный Совет принял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Декларацию «О государственном суверенитете Белорусской Советской Социалистической 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Республики», получившую 25 августа 1991 г. статус конституционного закона.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Беларусь стала парламентской республикой.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Функции Парламента в стране выполнял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Верховный Совет Республики Беларусь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>(разделения на две палаты тогда еще не было)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требовалось на практике реализовать принцип разделения властей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и создать по-настоящему работоспособный представительный и законодательный орган.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страны А.Г.Лукашенко</w:t>
      </w:r>
      <w:r w:rsidRPr="0079459F">
        <w:rPr>
          <w:rFonts w:ascii="Times New Roman" w:hAnsi="Times New Roman"/>
          <w:spacing w:val="-4"/>
          <w:sz w:val="28"/>
          <w:szCs w:val="28"/>
        </w:rPr>
        <w:t>. На состоявшемся</w:t>
      </w:r>
      <w:r w:rsidRPr="0079459F">
        <w:rPr>
          <w:rFonts w:ascii="Times New Roman" w:hAnsi="Times New Roman"/>
          <w:sz w:val="28"/>
          <w:szCs w:val="28"/>
        </w:rPr>
        <w:t xml:space="preserve"> 24 ноября 1996 г. референдуме граждане проголосовали за твердую власть, стабильность и законность. </w:t>
      </w:r>
      <w:r w:rsidRPr="0079459F">
        <w:rPr>
          <w:rFonts w:ascii="Times New Roman" w:hAnsi="Times New Roman"/>
          <w:b/>
          <w:spacing w:val="-12"/>
          <w:sz w:val="28"/>
          <w:szCs w:val="28"/>
        </w:rPr>
        <w:t>Результатами конституционной реформы явились установление</w:t>
      </w:r>
      <w:r w:rsidRPr="0079459F">
        <w:rPr>
          <w:rFonts w:ascii="Times New Roman" w:hAnsi="Times New Roman"/>
          <w:b/>
          <w:sz w:val="28"/>
          <w:szCs w:val="28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Создание двухпалатного Парламента – Национального собрания Республики Беларусь</w:t>
      </w:r>
      <w:r w:rsidRPr="0079459F">
        <w:rPr>
          <w:rFonts w:ascii="Times New Roman" w:hAnsi="Times New Roman"/>
          <w:i/>
          <w:sz w:val="28"/>
          <w:szCs w:val="28"/>
        </w:rPr>
        <w:t xml:space="preserve"> –</w:t>
      </w:r>
      <w:r w:rsidRPr="0079459F">
        <w:rPr>
          <w:rFonts w:ascii="Times New Roman" w:hAnsi="Times New Roman"/>
          <w:sz w:val="28"/>
          <w:szCs w:val="28"/>
        </w:rPr>
        <w:t xml:space="preserve"> стало важным фактором формирования правового фундамента, обеспечившего последовательное проведение намеченных социально-экономических преобразований.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В новом Парламенте были учтены интересы органов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 xml:space="preserve">территориального самоуправления, </w:t>
      </w:r>
      <w:r w:rsidRPr="0079459F">
        <w:rPr>
          <w:rFonts w:ascii="Times New Roman" w:hAnsi="Times New Roman"/>
          <w:b/>
          <w:sz w:val="28"/>
          <w:szCs w:val="28"/>
        </w:rPr>
        <w:t xml:space="preserve">обеспечено более полное представительство всех слоев общества,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оптимизирована численность</w:t>
      </w:r>
      <w:r w:rsidRPr="0079459F">
        <w:rPr>
          <w:rFonts w:ascii="Times New Roman" w:hAnsi="Times New Roman"/>
          <w:b/>
          <w:sz w:val="28"/>
          <w:szCs w:val="28"/>
        </w:rPr>
        <w:t xml:space="preserve"> парламентариев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 также и то, что </w:t>
      </w:r>
      <w:r w:rsidRPr="0079459F">
        <w:rPr>
          <w:rFonts w:ascii="Times New Roman" w:hAnsi="Times New Roman"/>
          <w:b/>
          <w:sz w:val="28"/>
          <w:szCs w:val="28"/>
        </w:rPr>
        <w:t>депутаты стали выполнять свои функции на профессиональной основе.</w:t>
      </w:r>
      <w:r w:rsidRPr="0079459F">
        <w:rPr>
          <w:rFonts w:ascii="Times New Roman" w:hAnsi="Times New Roman"/>
          <w:sz w:val="28"/>
          <w:szCs w:val="28"/>
        </w:rPr>
        <w:t xml:space="preserve"> По-настоящему заработали постоянные комиссии Палаты представителей. На их долю сегодня приходится основная часть всей законотворческой деятельности, что позволяет снять большинство дискуссионных вопросов еще до начала обсуждения законов в Овальном зале.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Особую роль в определении принципов работы Парламента, оптимизации подходов к организации законодательной деятельности играет позиция Главы государства. </w:t>
      </w:r>
      <w:r w:rsidRPr="0079459F">
        <w:rPr>
          <w:rFonts w:ascii="Times New Roman" w:hAnsi="Times New Roman"/>
          <w:b/>
          <w:sz w:val="28"/>
          <w:szCs w:val="28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79459F">
        <w:rPr>
          <w:rFonts w:ascii="Times New Roman" w:hAnsi="Times New Roman"/>
          <w:sz w:val="28"/>
          <w:szCs w:val="28"/>
        </w:rPr>
        <w:t xml:space="preserve">. По инициативе белорусского лидера </w:t>
      </w:r>
      <w:r w:rsidRPr="0079459F">
        <w:rPr>
          <w:rFonts w:ascii="Times New Roman" w:hAnsi="Times New Roman"/>
          <w:sz w:val="28"/>
          <w:szCs w:val="28"/>
        </w:rPr>
        <w:lastRenderedPageBreak/>
        <w:t>законотворческий процесс стал осуществляться на плановой основе.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Усилиями парламентариев всех созывов в стране </w:t>
      </w:r>
      <w:r w:rsidRPr="0079459F">
        <w:rPr>
          <w:rFonts w:ascii="Times New Roman" w:hAnsi="Times New Roman"/>
          <w:b/>
          <w:sz w:val="28"/>
          <w:szCs w:val="28"/>
        </w:rPr>
        <w:t xml:space="preserve">создана качественно новая законодательная база </w:t>
      </w:r>
      <w:r w:rsidRPr="0079459F">
        <w:rPr>
          <w:rFonts w:ascii="Times New Roman" w:hAnsi="Times New Roman"/>
          <w:i/>
          <w:sz w:val="28"/>
          <w:szCs w:val="28"/>
        </w:rPr>
        <w:t>(</w:t>
      </w:r>
      <w:r w:rsidRPr="0079459F">
        <w:rPr>
          <w:rFonts w:ascii="Times New Roman" w:hAnsi="Times New Roman"/>
          <w:bCs/>
          <w:i/>
          <w:sz w:val="28"/>
          <w:szCs w:val="28"/>
        </w:rPr>
        <w:t xml:space="preserve">которая включает на сегодняшний день более </w:t>
      </w:r>
      <w:r w:rsidRPr="0079459F">
        <w:rPr>
          <w:rFonts w:ascii="Times New Roman" w:hAnsi="Times New Roman"/>
          <w:i/>
          <w:sz w:val="28"/>
          <w:szCs w:val="28"/>
        </w:rPr>
        <w:t>2000 законов)</w:t>
      </w:r>
      <w:r w:rsidRPr="0079459F">
        <w:rPr>
          <w:rFonts w:ascii="Times New Roman" w:hAnsi="Times New Roman"/>
          <w:sz w:val="28"/>
          <w:szCs w:val="28"/>
        </w:rPr>
        <w:t xml:space="preserve">, учитывающая отечественный и зарубежный опыт. Принятые </w:t>
      </w:r>
      <w:r w:rsidRPr="0079459F">
        <w:rPr>
          <w:rFonts w:ascii="Times New Roman" w:hAnsi="Times New Roman"/>
          <w:b/>
          <w:sz w:val="28"/>
          <w:szCs w:val="28"/>
        </w:rPr>
        <w:t>законы охватывают все сферы жизнедеятельности государства и общества</w:t>
      </w:r>
      <w:r w:rsidRPr="0079459F">
        <w:rPr>
          <w:rFonts w:ascii="Times New Roman" w:hAnsi="Times New Roman"/>
          <w:sz w:val="28"/>
          <w:szCs w:val="28"/>
        </w:rPr>
        <w:t xml:space="preserve">. Важнейшими чертами законодательного процесса стали </w:t>
      </w:r>
      <w:r w:rsidRPr="0079459F">
        <w:rPr>
          <w:rFonts w:ascii="Times New Roman" w:hAnsi="Times New Roman"/>
          <w:b/>
          <w:sz w:val="28"/>
          <w:szCs w:val="28"/>
        </w:rPr>
        <w:t>социальная направленность и эволюционный подход к регулированию правовых отношений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Национальное собрание Республики Беларусь</w:t>
      </w:r>
    </w:p>
    <w:p w:rsidR="0035362C" w:rsidRPr="0079459F" w:rsidRDefault="0035362C" w:rsidP="0035362C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>Правовую основу деятельности</w:t>
      </w:r>
      <w:r w:rsidRPr="0079459F">
        <w:rPr>
          <w:sz w:val="28"/>
          <w:szCs w:val="28"/>
        </w:rPr>
        <w:t xml:space="preserve"> </w:t>
      </w:r>
      <w:r w:rsidRPr="0079459F">
        <w:rPr>
          <w:b/>
          <w:sz w:val="28"/>
          <w:szCs w:val="28"/>
        </w:rPr>
        <w:t>Национального собрания Республики Беларусь</w:t>
      </w:r>
      <w:r w:rsidRPr="0079459F">
        <w:rPr>
          <w:sz w:val="28"/>
          <w:szCs w:val="28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Парламента.</w:t>
      </w:r>
    </w:p>
    <w:p w:rsidR="0035362C" w:rsidRPr="0079459F" w:rsidRDefault="0035362C" w:rsidP="0035362C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sz w:val="28"/>
          <w:szCs w:val="28"/>
        </w:rPr>
        <w:t xml:space="preserve">Согласно Конституции Республики Беларусь (статья 90) Парламентом является Национальное собрание Республики Беларусь. Это </w:t>
      </w:r>
      <w:r w:rsidRPr="0079459F">
        <w:rPr>
          <w:b/>
          <w:sz w:val="28"/>
          <w:szCs w:val="28"/>
        </w:rPr>
        <w:t>представительный и законодательный орган страны</w:t>
      </w:r>
      <w:r w:rsidRPr="0079459F">
        <w:rPr>
          <w:sz w:val="28"/>
          <w:szCs w:val="28"/>
        </w:rPr>
        <w:t xml:space="preserve">, состоящий </w:t>
      </w:r>
      <w:r w:rsidRPr="0079459F">
        <w:rPr>
          <w:b/>
          <w:sz w:val="28"/>
          <w:szCs w:val="28"/>
        </w:rPr>
        <w:t>из двух палат</w:t>
      </w:r>
      <w:r w:rsidRPr="0079459F">
        <w:rPr>
          <w:sz w:val="28"/>
          <w:szCs w:val="28"/>
        </w:rPr>
        <w:t xml:space="preserve"> – Палаты представителей и Совета Республики. Срок полномочий Парламента – четыре года. В настоящее время работают Палата представителей и Совет Республики шестого созыва.</w:t>
      </w:r>
    </w:p>
    <w:p w:rsidR="0035362C" w:rsidRPr="0079459F" w:rsidRDefault="0035362C" w:rsidP="0035362C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 xml:space="preserve">В составе Палаты представителей – 110 депутатов </w:t>
      </w:r>
      <w:r w:rsidRPr="0079459F">
        <w:rPr>
          <w:i/>
          <w:sz w:val="28"/>
          <w:szCs w:val="28"/>
        </w:rPr>
        <w:t xml:space="preserve">(председатель – </w:t>
      </w:r>
      <w:r w:rsidRPr="0079459F">
        <w:rPr>
          <w:i/>
          <w:color w:val="171717"/>
          <w:sz w:val="28"/>
          <w:szCs w:val="28"/>
        </w:rPr>
        <w:t>В.П.Андрейченко</w:t>
      </w:r>
      <w:r w:rsidRPr="0079459F">
        <w:rPr>
          <w:i/>
          <w:sz w:val="28"/>
          <w:szCs w:val="28"/>
        </w:rPr>
        <w:t>)</w:t>
      </w:r>
      <w:r w:rsidRPr="0079459F">
        <w:rPr>
          <w:sz w:val="28"/>
          <w:szCs w:val="28"/>
        </w:rPr>
        <w:t>. Они избираются гражданами на основе всеобщего, свободного, равного, прямого избирательного права при тайном голосовании. Депутатом Палаты представителей может стать гражданин Республики Беларусь, достигший 21 года.</w:t>
      </w:r>
    </w:p>
    <w:p w:rsidR="0035362C" w:rsidRPr="0079459F" w:rsidRDefault="0035362C" w:rsidP="0035362C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Справочно.</w:t>
      </w:r>
    </w:p>
    <w:p w:rsidR="0035362C" w:rsidRPr="0079459F" w:rsidRDefault="0035362C" w:rsidP="0035362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составе действующей Палаты представителей </w:t>
      </w:r>
      <w:r w:rsidRPr="0079459F">
        <w:rPr>
          <w:rFonts w:ascii="Times New Roman" w:hAnsi="Times New Roman"/>
          <w:b/>
          <w:i/>
          <w:sz w:val="28"/>
          <w:szCs w:val="28"/>
        </w:rPr>
        <w:t>16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 от </w:t>
      </w:r>
      <w:r w:rsidRPr="0079459F">
        <w:rPr>
          <w:rFonts w:ascii="Times New Roman" w:hAnsi="Times New Roman"/>
          <w:b/>
          <w:i/>
          <w:sz w:val="28"/>
          <w:szCs w:val="28"/>
        </w:rPr>
        <w:t>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Белорусской патриотической партии (3 депутата), Коммунистической партии Беларуси (8), Либерально-демократической партии (1), Объединенной гражданской партии (1) и Республиканской партии труда и справедливости (3).</w:t>
      </w:r>
    </w:p>
    <w:p w:rsidR="0035362C" w:rsidRPr="0079459F" w:rsidRDefault="0035362C" w:rsidP="0035362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Являлись руководителями </w:t>
      </w:r>
      <w:r w:rsidRPr="0079459F">
        <w:rPr>
          <w:rFonts w:ascii="Times New Roman" w:hAnsi="Times New Roman"/>
          <w:b/>
          <w:i/>
          <w:sz w:val="28"/>
          <w:szCs w:val="28"/>
        </w:rPr>
        <w:t>40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79459F">
        <w:rPr>
          <w:rFonts w:ascii="Times New Roman" w:hAnsi="Times New Roman"/>
          <w:b/>
          <w:i/>
          <w:sz w:val="28"/>
          <w:szCs w:val="28"/>
        </w:rPr>
        <w:t>22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79459F">
        <w:rPr>
          <w:rFonts w:ascii="Times New Roman" w:hAnsi="Times New Roman"/>
          <w:b/>
          <w:i/>
          <w:sz w:val="28"/>
          <w:szCs w:val="28"/>
        </w:rPr>
        <w:t>7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79459F">
        <w:rPr>
          <w:rFonts w:ascii="Times New Roman" w:hAnsi="Times New Roman"/>
          <w:b/>
          <w:i/>
          <w:sz w:val="28"/>
          <w:szCs w:val="28"/>
        </w:rPr>
        <w:t>четыре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депутата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35362C" w:rsidRPr="0079459F" w:rsidRDefault="0035362C" w:rsidP="0035362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9459F">
        <w:rPr>
          <w:rFonts w:ascii="Times New Roman" w:hAnsi="Times New Roman"/>
          <w:i/>
          <w:sz w:val="28"/>
          <w:szCs w:val="28"/>
        </w:rPr>
        <w:t>Награждены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орденами и медалями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79459F">
        <w:rPr>
          <w:rFonts w:ascii="Times New Roman" w:hAnsi="Times New Roman"/>
          <w:b/>
          <w:i/>
          <w:sz w:val="28"/>
          <w:szCs w:val="28"/>
        </w:rPr>
        <w:t>4</w:t>
      </w:r>
      <w:r w:rsidRPr="0079459F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79459F">
        <w:rPr>
          <w:rFonts w:ascii="Times New Roman" w:hAnsi="Times New Roman"/>
          <w:b/>
          <w:i/>
          <w:sz w:val="28"/>
          <w:szCs w:val="28"/>
        </w:rPr>
        <w:t>15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35362C" w:rsidRPr="0079459F" w:rsidRDefault="0035362C" w:rsidP="0035362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9459F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  <w:proofErr w:type="gramEnd"/>
    </w:p>
    <w:p w:rsidR="0035362C" w:rsidRPr="0079459F" w:rsidRDefault="0035362C" w:rsidP="0035362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Если в первом созыве Палаты представителей (1996</w:t>
      </w:r>
      <w:r w:rsidRPr="0079459F">
        <w:rPr>
          <w:rFonts w:ascii="Times New Roman" w:hAnsi="Times New Roman"/>
          <w:i/>
          <w:spacing w:val="-4"/>
          <w:sz w:val="28"/>
          <w:szCs w:val="28"/>
        </w:rPr>
        <w:t>–2000 годы</w:t>
      </w:r>
      <w:r w:rsidRPr="0079459F">
        <w:rPr>
          <w:rFonts w:ascii="Times New Roman" w:hAnsi="Times New Roman"/>
          <w:i/>
          <w:sz w:val="28"/>
          <w:szCs w:val="28"/>
        </w:rPr>
        <w:t xml:space="preserve">) было только 5 женщин, то сегодня </w:t>
      </w:r>
      <w:r w:rsidRPr="0079459F">
        <w:rPr>
          <w:rFonts w:ascii="Times New Roman" w:hAnsi="Times New Roman"/>
          <w:b/>
          <w:i/>
          <w:sz w:val="28"/>
          <w:szCs w:val="28"/>
        </w:rPr>
        <w:t>38</w:t>
      </w:r>
      <w:r w:rsidRPr="0079459F">
        <w:rPr>
          <w:rFonts w:ascii="Times New Roman" w:hAnsi="Times New Roman"/>
          <w:i/>
          <w:sz w:val="28"/>
          <w:szCs w:val="28"/>
        </w:rPr>
        <w:t xml:space="preserve"> (34,5% от общего числа депутатов).</w:t>
      </w:r>
    </w:p>
    <w:p w:rsidR="0035362C" w:rsidRPr="0079459F" w:rsidRDefault="0035362C" w:rsidP="0035362C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является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палатой территориального представительства </w:t>
      </w:r>
      <w:r w:rsidRPr="0079459F">
        <w:rPr>
          <w:rFonts w:ascii="Times New Roman" w:hAnsi="Times New Roman"/>
          <w:i/>
          <w:sz w:val="28"/>
          <w:szCs w:val="28"/>
        </w:rPr>
        <w:t>(председатель – М.В.Мясникович)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  <w:r w:rsidRPr="0079459F">
        <w:rPr>
          <w:rFonts w:ascii="Times New Roman" w:hAnsi="Times New Roman"/>
          <w:spacing w:val="-4"/>
          <w:sz w:val="28"/>
          <w:szCs w:val="28"/>
        </w:rPr>
        <w:t>Полный состав верхней палаты 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64 человека</w:t>
      </w:r>
      <w:r w:rsidRPr="0079459F">
        <w:rPr>
          <w:rFonts w:ascii="Times New Roman" w:hAnsi="Times New Roman"/>
          <w:sz w:val="28"/>
          <w:szCs w:val="28"/>
        </w:rPr>
        <w:t xml:space="preserve">. От каждой области и города Минска тайным голосованием избираются на заседаниях </w:t>
      </w:r>
      <w:proofErr w:type="gramStart"/>
      <w:r w:rsidRPr="0079459F">
        <w:rPr>
          <w:rFonts w:ascii="Times New Roman" w:hAnsi="Times New Roman"/>
          <w:sz w:val="28"/>
          <w:szCs w:val="28"/>
        </w:rPr>
        <w:t>депутатов местных Советов депутатов базового уровня каждой области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и города Минска по восемь членов Совета Республики. Восемь членов – назначаются Главой государства. </w:t>
      </w:r>
      <w:r w:rsidRPr="0079459F">
        <w:rPr>
          <w:rFonts w:ascii="Times New Roman" w:eastAsiaTheme="minorHAnsi" w:hAnsi="Times New Roman"/>
          <w:sz w:val="28"/>
          <w:szCs w:val="28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Палата представителей и Совет Республики избирают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постоянные комиссии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</w:rP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79459F">
        <w:rPr>
          <w:rFonts w:ascii="Times New Roman" w:eastAsia="Times New Roman" w:hAnsi="Times New Roman"/>
          <w:b/>
          <w:sz w:val="28"/>
          <w:szCs w:val="28"/>
        </w:rPr>
        <w:t>Совет Палаты представителей и Президиум Совета Республики</w:t>
      </w:r>
      <w:r w:rsidRPr="0079459F">
        <w:rPr>
          <w:rFonts w:ascii="Times New Roman" w:eastAsia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 Совете Республики осуществляет деятельность </w:t>
      </w:r>
      <w:r w:rsidRPr="0079459F">
        <w:rPr>
          <w:rFonts w:ascii="Times New Roman" w:hAnsi="Times New Roman"/>
          <w:b/>
          <w:sz w:val="28"/>
          <w:szCs w:val="28"/>
        </w:rPr>
        <w:t>Совет по взаимодействию органов местного самоуправления</w:t>
      </w:r>
      <w:r w:rsidRPr="0079459F">
        <w:rPr>
          <w:rFonts w:ascii="Times New Roman" w:hAnsi="Times New Roman"/>
          <w:sz w:val="28"/>
          <w:szCs w:val="28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Решения СВОМС имеют рекомендательный характер.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Конституция Республики Беларусь относит к компетенции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Палаты представителей </w:t>
      </w:r>
      <w:r w:rsidRPr="0079459F">
        <w:rPr>
          <w:rFonts w:ascii="Times New Roman" w:hAnsi="Times New Roman"/>
          <w:sz w:val="28"/>
          <w:szCs w:val="28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b/>
          <w:sz w:val="28"/>
          <w:szCs w:val="28"/>
        </w:rPr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</w:t>
      </w:r>
      <w:r w:rsidRPr="0079459F">
        <w:rPr>
          <w:rFonts w:ascii="Times New Roman" w:eastAsia="Times New Roman" w:hAnsi="Times New Roman"/>
          <w:sz w:val="28"/>
          <w:szCs w:val="28"/>
        </w:rPr>
        <w:lastRenderedPageBreak/>
        <w:t xml:space="preserve">Суда, Председателя Центральной комиссии по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выборам и проведению республиканских референдумов (далее – Центральная комиссия), Генерального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</w:t>
      </w:r>
      <w:proofErr w:type="gramEnd"/>
      <w:r w:rsidRPr="0079459F">
        <w:rPr>
          <w:rFonts w:ascii="Times New Roman" w:eastAsia="Times New Roman" w:hAnsi="Times New Roman"/>
          <w:sz w:val="28"/>
          <w:szCs w:val="28"/>
        </w:rPr>
        <w:t xml:space="preserve">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b/>
          <w:spacing w:val="-6"/>
          <w:sz w:val="28"/>
          <w:szCs w:val="28"/>
        </w:rPr>
        <w:t>К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общей компетенции палат Парламента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Ключевые направления деятельности Национального собрания Республики Беларусь</w:t>
      </w:r>
    </w:p>
    <w:p w:rsidR="0035362C" w:rsidRPr="0079459F" w:rsidRDefault="0035362C" w:rsidP="0035362C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Главное направление деятельности парламентариев – принятие законов</w:t>
      </w:r>
      <w:r w:rsidRPr="0079459F">
        <w:rPr>
          <w:rFonts w:ascii="Times New Roman" w:hAnsi="Times New Roman"/>
          <w:i/>
          <w:sz w:val="28"/>
          <w:szCs w:val="28"/>
        </w:rPr>
        <w:t xml:space="preserve">. </w:t>
      </w:r>
      <w:r w:rsidRPr="0079459F">
        <w:rPr>
          <w:rFonts w:ascii="Times New Roman" w:hAnsi="Times New Roman"/>
          <w:sz w:val="28"/>
          <w:szCs w:val="28"/>
        </w:rPr>
        <w:t>В основу текущего законотворческого процесса положено законодательное обеспечение приоритетов социально-экономического развития страны.</w:t>
      </w:r>
    </w:p>
    <w:p w:rsidR="0035362C" w:rsidRPr="0079459F" w:rsidRDefault="0035362C" w:rsidP="0035362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35362C" w:rsidRPr="0079459F" w:rsidRDefault="0035362C" w:rsidP="0035362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79459F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79459F">
        <w:rPr>
          <w:rFonts w:ascii="Times New Roman" w:hAnsi="Times New Roman"/>
          <w:b/>
          <w:i/>
          <w:sz w:val="28"/>
          <w:szCs w:val="28"/>
        </w:rPr>
        <w:t>130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 xml:space="preserve">Совершенствование законодательства </w:t>
      </w:r>
      <w:r w:rsidRPr="0079459F">
        <w:rPr>
          <w:rFonts w:ascii="Times New Roman" w:hAnsi="Times New Roman"/>
          <w:b/>
          <w:sz w:val="28"/>
          <w:szCs w:val="28"/>
        </w:rPr>
        <w:t>в инвестиционной, бюджетно-налоговой, финансовой сферах, отраслях реального сектора и сфере оказания услуг</w:t>
      </w:r>
      <w:r w:rsidRPr="0079459F">
        <w:rPr>
          <w:rFonts w:ascii="Times New Roman" w:hAnsi="Times New Roman"/>
          <w:sz w:val="28"/>
          <w:szCs w:val="28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большая работа по совершенствованию нормативной правовой базы </w:t>
      </w:r>
      <w:r w:rsidRPr="0079459F">
        <w:rPr>
          <w:rFonts w:ascii="Times New Roman" w:hAnsi="Times New Roman"/>
          <w:b/>
          <w:sz w:val="28"/>
          <w:szCs w:val="28"/>
        </w:rPr>
        <w:t>в сфере здравоохранения</w:t>
      </w:r>
      <w:r w:rsidRPr="0079459F">
        <w:rPr>
          <w:rFonts w:ascii="Times New Roman" w:hAnsi="Times New Roman"/>
          <w:sz w:val="28"/>
          <w:szCs w:val="28"/>
        </w:rPr>
        <w:t xml:space="preserve"> в целях повышения доступности и своевременности оказания высокотехнологичной медицинской помощи населению.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79459F">
        <w:rPr>
          <w:rFonts w:ascii="Times New Roman" w:hAnsi="Times New Roman"/>
          <w:b/>
          <w:sz w:val="28"/>
          <w:szCs w:val="28"/>
        </w:rPr>
        <w:t>новая редакция Жилищного кодекса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 xml:space="preserve">Принятым </w:t>
      </w:r>
      <w:r w:rsidRPr="0079459F">
        <w:rPr>
          <w:rFonts w:ascii="Times New Roman" w:hAnsi="Times New Roman"/>
          <w:b/>
          <w:sz w:val="28"/>
          <w:szCs w:val="28"/>
        </w:rPr>
        <w:t>в сфере информации, информатизации и защиты информации</w:t>
      </w:r>
      <w:r w:rsidRPr="0079459F">
        <w:rPr>
          <w:rFonts w:ascii="Times New Roman" w:hAnsi="Times New Roman"/>
          <w:sz w:val="28"/>
          <w:szCs w:val="28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 Беларусь иностранного сертификата открытого ключа.</w:t>
      </w:r>
      <w:proofErr w:type="gramEnd"/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Депутатским корпусом шестого созыва усовершенствовано законодательство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 транспорте,</w:t>
      </w:r>
      <w:r w:rsidRPr="0079459F">
        <w:rPr>
          <w:b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 охране окружающей среды и рациональном использовании природных ресурсов, о научной, научно-технической, инновационной деятельности, интеллектуальной собственности, в сфере физической культуры и спорта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</w:t>
      </w:r>
      <w:r w:rsidRPr="0079459F">
        <w:rPr>
          <w:rFonts w:ascii="Times New Roman" w:hAnsi="Times New Roman"/>
          <w:b/>
          <w:sz w:val="28"/>
          <w:szCs w:val="28"/>
        </w:rPr>
        <w:t>корректировка административного и уголовного законодательства:</w:t>
      </w:r>
      <w:r w:rsidRPr="0079459F">
        <w:rPr>
          <w:rFonts w:ascii="Times New Roman" w:hAnsi="Times New Roman"/>
          <w:sz w:val="28"/>
          <w:szCs w:val="28"/>
        </w:rPr>
        <w:t xml:space="preserve"> нацелена на гуманизацию законодательства, снижение ответственности за правонарушения в сфере предпринимательской деятельности и реализацию решений Конституционного Суда Республики Беларусь, положений международных договоров.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В сфере конституционного законодательства</w:t>
      </w:r>
      <w:r w:rsidRPr="0079459F">
        <w:rPr>
          <w:rFonts w:ascii="Times New Roman" w:hAnsi="Times New Roman"/>
          <w:sz w:val="28"/>
          <w:szCs w:val="28"/>
        </w:rPr>
        <w:t xml:space="preserve"> принята новая редакция Кодекса о судоустройстве и статусе судей и внесены корректировки в </w:t>
      </w:r>
      <w:r w:rsidRPr="0079459F">
        <w:rPr>
          <w:rFonts w:ascii="Times New Roman" w:hAnsi="Times New Roman"/>
          <w:sz w:val="28"/>
          <w:szCs w:val="28"/>
          <w:lang w:val="be-BY"/>
        </w:rPr>
        <w:t>Закон</w:t>
      </w:r>
      <w:r w:rsidRPr="0079459F">
        <w:rPr>
          <w:rFonts w:ascii="Times New Roman" w:hAnsi="Times New Roman"/>
          <w:sz w:val="28"/>
          <w:szCs w:val="28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35362C" w:rsidRPr="0079459F" w:rsidRDefault="0035362C" w:rsidP="0035362C">
      <w:pPr>
        <w:spacing w:before="120" w:after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Задачи, которые будут стоять перед вновь избранным составом парламента.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Главная задача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обеспечение преемственности политического курса</w:t>
      </w:r>
      <w:r w:rsidRPr="0079459F">
        <w:rPr>
          <w:rFonts w:ascii="Times New Roman" w:hAnsi="Times New Roman"/>
          <w:sz w:val="28"/>
          <w:szCs w:val="28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28"/>
          <w:szCs w:val="28"/>
        </w:rPr>
      </w:pPr>
      <w:r w:rsidRPr="0079459F">
        <w:rPr>
          <w:bCs/>
          <w:spacing w:val="-6"/>
          <w:sz w:val="28"/>
          <w:szCs w:val="28"/>
        </w:rPr>
        <w:t xml:space="preserve">Основными </w:t>
      </w:r>
      <w:r w:rsidRPr="0079459F">
        <w:rPr>
          <w:b/>
          <w:bCs/>
          <w:spacing w:val="-6"/>
          <w:sz w:val="28"/>
          <w:szCs w:val="28"/>
        </w:rPr>
        <w:t xml:space="preserve">задачами в сфере законотворчества </w:t>
      </w:r>
      <w:r w:rsidRPr="0079459F">
        <w:rPr>
          <w:bCs/>
          <w:spacing w:val="-6"/>
          <w:sz w:val="28"/>
          <w:szCs w:val="28"/>
        </w:rPr>
        <w:t>станут: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реализация поручений Главы государства.</w:t>
      </w:r>
    </w:p>
    <w:p w:rsidR="0035362C" w:rsidRPr="0079459F" w:rsidRDefault="0035362C" w:rsidP="0035362C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Основные </w:t>
      </w:r>
      <w:r w:rsidRPr="0079459F">
        <w:rPr>
          <w:rFonts w:ascii="Times New Roman" w:hAnsi="Times New Roman"/>
          <w:b/>
          <w:sz w:val="28"/>
          <w:szCs w:val="28"/>
        </w:rPr>
        <w:t>задачи в области международной деятельности</w:t>
      </w:r>
      <w:r w:rsidRPr="0079459F">
        <w:rPr>
          <w:rFonts w:ascii="Times New Roman" w:hAnsi="Times New Roman"/>
          <w:sz w:val="28"/>
          <w:szCs w:val="28"/>
        </w:rPr>
        <w:t>: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повышение имиджа Республики Беларусь на международной арене;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 xml:space="preserve">активное продвижение в международном парламентском сообществе идей интеграции интеграций и других стратегических инициатив Главы </w:t>
      </w:r>
      <w:r w:rsidRPr="0079459F">
        <w:rPr>
          <w:sz w:val="28"/>
          <w:szCs w:val="28"/>
        </w:rPr>
        <w:lastRenderedPageBreak/>
        <w:t>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отстаивание и продвижение национальных экономических интересов на внешних рынках.</w:t>
      </w:r>
    </w:p>
    <w:p w:rsidR="0035362C" w:rsidRPr="0079459F" w:rsidRDefault="0035362C" w:rsidP="0035362C">
      <w:pPr>
        <w:pStyle w:val="a6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cs="Arial"/>
          <w:sz w:val="28"/>
          <w:szCs w:val="28"/>
        </w:rPr>
        <w:t>Как правило, основная часть кропотливой работы депутата не видна, а поэтому зачастую оказывается недооцененной. В этой связи новому составу Палаты представителей следует на деле продемонстрировать важность и эффективность данного института.</w:t>
      </w:r>
    </w:p>
    <w:p w:rsidR="0035362C" w:rsidRPr="0079459F" w:rsidRDefault="0035362C" w:rsidP="0035362C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Обеспечение парламентариями прав, свобод и законных интересов избирателей</w:t>
      </w:r>
      <w:r w:rsidRPr="0079459F">
        <w:rPr>
          <w:rFonts w:ascii="Times New Roman" w:hAnsi="Times New Roman"/>
          <w:b/>
          <w:i/>
          <w:sz w:val="28"/>
          <w:szCs w:val="28"/>
        </w:rPr>
        <w:t>.</w:t>
      </w:r>
      <w:r w:rsidRPr="0079459F">
        <w:rPr>
          <w:rFonts w:ascii="Times New Roman" w:hAnsi="Times New Roman"/>
          <w:sz w:val="28"/>
          <w:szCs w:val="28"/>
        </w:rPr>
        <w:t xml:space="preserve"> 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79459F">
        <w:rPr>
          <w:rFonts w:ascii="Times New Roman" w:hAnsi="Times New Roman"/>
          <w:b/>
          <w:sz w:val="28"/>
          <w:szCs w:val="28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79459F">
        <w:rPr>
          <w:rFonts w:ascii="Times New Roman" w:hAnsi="Times New Roman"/>
          <w:sz w:val="28"/>
          <w:szCs w:val="28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Работая в тесном контакте с местными органами власти, депутаты приоритетное внимание уделяют 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Одно из принципиальных направлений этой деятельности – </w:t>
      </w:r>
      <w:r w:rsidRPr="0079459F">
        <w:rPr>
          <w:rFonts w:ascii="Times New Roman" w:hAnsi="Times New Roman"/>
          <w:b/>
          <w:sz w:val="28"/>
          <w:szCs w:val="28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79459F">
        <w:rPr>
          <w:rFonts w:ascii="Times New Roman" w:hAnsi="Times New Roman"/>
          <w:sz w:val="28"/>
          <w:szCs w:val="28"/>
        </w:rPr>
        <w:t>. Особая забота депутатов – обеспечение 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79459F">
        <w:rPr>
          <w:rFonts w:ascii="Times New Roman" w:hAnsi="Times New Roman"/>
          <w:b/>
          <w:sz w:val="28"/>
          <w:szCs w:val="28"/>
        </w:rPr>
        <w:t xml:space="preserve">не реже одного раза в год, парламентарии отчитываются перед избирателями округа о </w:t>
      </w:r>
      <w:r w:rsidRPr="0079459F">
        <w:rPr>
          <w:rFonts w:ascii="Times New Roman" w:hAnsi="Times New Roman"/>
          <w:b/>
          <w:sz w:val="28"/>
          <w:szCs w:val="28"/>
        </w:rPr>
        <w:lastRenderedPageBreak/>
        <w:t>проделанной работе, ходе выполнения предвыборных программ, текущей деятельности Палаты представителей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место в депутатском графике занимает </w:t>
      </w:r>
      <w:r w:rsidRPr="0079459F">
        <w:rPr>
          <w:rFonts w:ascii="Times New Roman" w:hAnsi="Times New Roman"/>
          <w:b/>
          <w:sz w:val="28"/>
          <w:szCs w:val="28"/>
        </w:rPr>
        <w:t>общение с представителями молодого поколения.</w:t>
      </w:r>
      <w:r w:rsidRPr="0079459F">
        <w:rPr>
          <w:rFonts w:ascii="Times New Roman" w:hAnsi="Times New Roman"/>
          <w:sz w:val="28"/>
          <w:szCs w:val="28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парламентариями гражданско-патриотических, культурно-спортивных и благотворительных акциях.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 многие законопроекты идут от самих людей, избирателей.</w:t>
      </w:r>
    </w:p>
    <w:p w:rsidR="0035362C" w:rsidRPr="0079459F" w:rsidRDefault="0035362C" w:rsidP="0035362C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proofErr w:type="gramStart"/>
      <w:r w:rsidRPr="0079459F">
        <w:rPr>
          <w:rFonts w:ascii="Times New Roman" w:hAnsi="Times New Roman"/>
          <w:spacing w:val="-6"/>
          <w:sz w:val="28"/>
          <w:szCs w:val="28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12 государств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79459F">
        <w:rPr>
          <w:rFonts w:ascii="Times New Roman" w:hAnsi="Times New Roman"/>
          <w:b/>
          <w:iCs/>
          <w:spacing w:val="-6"/>
          <w:sz w:val="28"/>
          <w:szCs w:val="28"/>
        </w:rPr>
        <w:t>50 международных договоров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>.</w:t>
      </w:r>
      <w:proofErr w:type="gramEnd"/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 приглашению Парламента Республики Беларусь нашу страну с визитами посетило более </w:t>
      </w:r>
      <w:r w:rsidRPr="0079459F">
        <w:rPr>
          <w:rFonts w:ascii="Times New Roman" w:hAnsi="Times New Roman"/>
          <w:b/>
          <w:sz w:val="28"/>
          <w:szCs w:val="28"/>
        </w:rPr>
        <w:t>30</w:t>
      </w:r>
      <w:r w:rsidRPr="0079459F">
        <w:rPr>
          <w:rFonts w:ascii="Times New Roman" w:hAnsi="Times New Roman"/>
          <w:sz w:val="28"/>
          <w:szCs w:val="28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Азии. В свою очередь расширилась география поездок белорусских парламентариев </w:t>
      </w:r>
      <w:r w:rsidRPr="0079459F">
        <w:rPr>
          <w:rFonts w:ascii="Times New Roman" w:hAnsi="Times New Roman"/>
          <w:i/>
          <w:sz w:val="28"/>
          <w:szCs w:val="28"/>
        </w:rPr>
        <w:t xml:space="preserve">(их принимали более чем в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40 </w:t>
      </w:r>
      <w:r w:rsidRPr="0079459F">
        <w:rPr>
          <w:rFonts w:ascii="Times New Roman" w:hAnsi="Times New Roman"/>
          <w:i/>
          <w:sz w:val="28"/>
          <w:szCs w:val="28"/>
        </w:rPr>
        <w:t>странах)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79459F">
        <w:rPr>
          <w:rFonts w:ascii="Times New Roman" w:hAnsi="Times New Roman"/>
          <w:b/>
          <w:sz w:val="28"/>
          <w:szCs w:val="28"/>
        </w:rPr>
        <w:t>продвижение интересов Республики Беларусь</w:t>
      </w:r>
      <w:r w:rsidRPr="0079459F">
        <w:rPr>
          <w:rFonts w:ascii="Times New Roman" w:hAnsi="Times New Roman"/>
          <w:sz w:val="28"/>
          <w:szCs w:val="28"/>
        </w:rPr>
        <w:t xml:space="preserve"> за рубежом </w:t>
      </w:r>
      <w:r w:rsidRPr="0079459F">
        <w:rPr>
          <w:rFonts w:ascii="Times New Roman" w:hAnsi="Times New Roman"/>
          <w:b/>
          <w:sz w:val="28"/>
          <w:szCs w:val="28"/>
        </w:rPr>
        <w:t>в торгово-экономической, инвестиционной, образовательной, культурной, туристической и других областях</w:t>
      </w:r>
      <w:r w:rsidRPr="0079459F">
        <w:rPr>
          <w:rFonts w:ascii="Times New Roman" w:hAnsi="Times New Roman"/>
          <w:sz w:val="28"/>
          <w:szCs w:val="28"/>
        </w:rPr>
        <w:t>.</w:t>
      </w:r>
      <w:proofErr w:type="gramEnd"/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9459F">
        <w:rPr>
          <w:rFonts w:ascii="Times New Roman" w:hAnsi="Times New Roman"/>
          <w:sz w:val="28"/>
          <w:szCs w:val="28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  <w:lang w:val="be-BY"/>
        </w:rPr>
        <w:t>работа в международных парламентских организациях</w:t>
      </w:r>
      <w:r w:rsidRPr="0079459F">
        <w:rPr>
          <w:rFonts w:ascii="Times New Roman" w:hAnsi="Times New Roman"/>
          <w:sz w:val="28"/>
          <w:szCs w:val="28"/>
          <w:lang w:val="be-BY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Традиционно особое внимание уделяется </w:t>
      </w:r>
      <w:r w:rsidRPr="0079459F">
        <w:rPr>
          <w:rFonts w:ascii="Times New Roman" w:hAnsi="Times New Roman"/>
          <w:b/>
          <w:sz w:val="28"/>
          <w:szCs w:val="28"/>
        </w:rPr>
        <w:t>сотрудничеству в рамках интеграционных образований</w:t>
      </w:r>
      <w:r w:rsidRPr="0079459F">
        <w:rPr>
          <w:rFonts w:ascii="Times New Roman" w:hAnsi="Times New Roman"/>
          <w:sz w:val="28"/>
          <w:szCs w:val="28"/>
        </w:rPr>
        <w:t xml:space="preserve">, </w:t>
      </w:r>
      <w:r w:rsidRPr="0079459F">
        <w:rPr>
          <w:rFonts w:ascii="Times New Roman" w:hAnsi="Times New Roman"/>
          <w:b/>
          <w:sz w:val="28"/>
          <w:szCs w:val="28"/>
        </w:rPr>
        <w:t>созданных на постсоветском пространстве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В центре </w:t>
      </w:r>
      <w:proofErr w:type="gramStart"/>
      <w:r w:rsidRPr="0079459F">
        <w:rPr>
          <w:rFonts w:ascii="Times New Roman" w:hAnsi="Times New Roman"/>
          <w:sz w:val="28"/>
          <w:szCs w:val="28"/>
        </w:rPr>
        <w:t>внимания сессий Парламентского Собрания Союза Беларуси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2018–2022 годы, а также бюджетные вопросы.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зоне повышенного внимания находится работа делегаций Национального собрания Республики Беларусь в Межпарламентской Ассамблее государств – участников СНГ (далее – МПА СНГ) и Парламентской Ассамблее Организации Договора о коллективной безопасности (далее ПА ОДКБ).</w:t>
      </w:r>
    </w:p>
    <w:p w:rsidR="0035362C" w:rsidRPr="0079459F" w:rsidRDefault="0035362C" w:rsidP="0035362C">
      <w:pPr>
        <w:pStyle w:val="20"/>
        <w:shd w:val="clear" w:color="auto" w:fill="auto"/>
        <w:spacing w:before="0"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26-я ежегодная сессия ПА ОБСЕ была проведена в г</w:t>
      </w:r>
      <w:proofErr w:type="gramStart"/>
      <w:r w:rsidRPr="0079459F">
        <w:rPr>
          <w:rFonts w:ascii="Times New Roman" w:hAnsi="Times New Roman"/>
          <w:b/>
          <w:spacing w:val="-6"/>
          <w:sz w:val="28"/>
          <w:szCs w:val="28"/>
        </w:rPr>
        <w:t>.М</w:t>
      </w:r>
      <w:proofErr w:type="gramEnd"/>
      <w:r w:rsidRPr="0079459F">
        <w:rPr>
          <w:rFonts w:ascii="Times New Roman" w:hAnsi="Times New Roman"/>
          <w:b/>
          <w:spacing w:val="-6"/>
          <w:sz w:val="28"/>
          <w:szCs w:val="28"/>
        </w:rPr>
        <w:t>инске (июль 2017 г.).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Благодаря работе белорусских парламентариев на международной арене,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наша страна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укрепила свои позиции в ПА ОБСЕ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 xml:space="preserve"> (депутаты Палаты представителей подготовили три резолюции, которые были приняты ПА ОБСЕ)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35362C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Парламентские выборы-2019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Правовую основу белорусской избирательной системы составляют Конституция Республики Беларусь, Избирательный кодекс Республики Беларусь, постановления Центральной комиссии.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Порядок формирования Национального собрания Республики Беларусь отвечает мировой практике. Как правило, нижние палаты парламентов формируются путем всеобщих и прямых выборов.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Выборы депутатов Палаты представителей проводятся по одномандатным избирательным округам. </w:t>
      </w:r>
      <w:r w:rsidRPr="0079459F">
        <w:rPr>
          <w:rFonts w:ascii="Times New Roman" w:hAnsi="Times New Roman"/>
          <w:b/>
          <w:sz w:val="28"/>
          <w:szCs w:val="28"/>
        </w:rPr>
        <w:t>От каждого избирательного округа избирается один депутат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35362C" w:rsidRPr="0079459F" w:rsidRDefault="0035362C" w:rsidP="0035362C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региональном разрезе избирательные округа выглядят следующим образом: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35362C" w:rsidRPr="0079459F" w:rsidRDefault="0035362C" w:rsidP="0035362C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Подготовку и проведение выборов депутатов Палаты представителей, обеспечивают Центральная комиссия, а также избирательные комиссии по выборам депутатов Палаты представителей</w:t>
      </w:r>
      <w:r w:rsidRPr="0079459F">
        <w:rPr>
          <w:rFonts w:ascii="Times New Roman" w:hAnsi="Times New Roman"/>
          <w:i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Гражданин может выдвигаться кандидатом в депутаты </w:t>
      </w:r>
      <w:r w:rsidRPr="0079459F">
        <w:rPr>
          <w:rFonts w:ascii="Times New Roman" w:hAnsi="Times New Roman"/>
          <w:b/>
          <w:sz w:val="28"/>
          <w:szCs w:val="28"/>
        </w:rPr>
        <w:t>только по одному</w:t>
      </w:r>
      <w:r w:rsidRPr="0079459F">
        <w:rPr>
          <w:rFonts w:ascii="Times New Roman" w:hAnsi="Times New Roman"/>
          <w:sz w:val="28"/>
          <w:szCs w:val="28"/>
        </w:rPr>
        <w:t xml:space="preserve"> избирательному округу. </w:t>
      </w:r>
      <w:r w:rsidRPr="0079459F">
        <w:rPr>
          <w:rFonts w:ascii="Times New Roman" w:hAnsi="Times New Roman"/>
          <w:b/>
          <w:sz w:val="28"/>
          <w:szCs w:val="28"/>
        </w:rPr>
        <w:t>Право выдвижения кандидатов</w:t>
      </w:r>
      <w:r w:rsidRPr="0079459F">
        <w:rPr>
          <w:rFonts w:ascii="Times New Roman" w:hAnsi="Times New Roman"/>
          <w:sz w:val="28"/>
          <w:szCs w:val="28"/>
        </w:rPr>
        <w:t xml:space="preserve"> в депутаты Палаты представителей </w:t>
      </w:r>
      <w:r w:rsidRPr="0079459F">
        <w:rPr>
          <w:rFonts w:ascii="Times New Roman" w:hAnsi="Times New Roman"/>
          <w:b/>
          <w:sz w:val="28"/>
          <w:szCs w:val="28"/>
        </w:rPr>
        <w:t>принадлежит трем субъектам.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Выдвижение кандидатов в депутаты Палаты представителей</w:t>
      </w:r>
      <w:r w:rsidRPr="0079459F">
        <w:rPr>
          <w:rFonts w:ascii="Times New Roman" w:hAnsi="Times New Roman"/>
          <w:b/>
          <w:sz w:val="28"/>
          <w:szCs w:val="28"/>
        </w:rPr>
        <w:t xml:space="preserve"> от политических партий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Выдвижение </w:t>
      </w:r>
      <w:r w:rsidRPr="0079459F">
        <w:rPr>
          <w:rFonts w:ascii="Times New Roman" w:hAnsi="Times New Roman"/>
          <w:b/>
          <w:sz w:val="28"/>
          <w:szCs w:val="28"/>
        </w:rPr>
        <w:t>от трудовых коллективов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на собраниях (конференциях) избирателей в трудовых коллективах.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Выдвижение кандидата </w:t>
      </w:r>
      <w:r w:rsidRPr="0079459F">
        <w:rPr>
          <w:rFonts w:ascii="Times New Roman" w:hAnsi="Times New Roman"/>
          <w:b/>
          <w:sz w:val="28"/>
          <w:szCs w:val="28"/>
        </w:rPr>
        <w:t>путем сбора подписей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инициативной группой </w:t>
      </w:r>
      <w:r w:rsidRPr="0079459F">
        <w:rPr>
          <w:rFonts w:ascii="Times New Roman" w:hAnsi="Times New Roman"/>
          <w:i/>
          <w:sz w:val="28"/>
          <w:szCs w:val="28"/>
        </w:rPr>
        <w:t>(в количестве не менее 10 человек)</w:t>
      </w:r>
      <w:r w:rsidRPr="0079459F">
        <w:rPr>
          <w:rFonts w:ascii="Times New Roman" w:hAnsi="Times New Roman"/>
          <w:sz w:val="28"/>
          <w:szCs w:val="28"/>
        </w:rPr>
        <w:t>. Такого кандидата должны поддержать не менее 1000 избирателей, проживающих в избирательном округе.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 Республики Беларусь </w:t>
      </w:r>
      <w:r w:rsidRPr="0079459F">
        <w:rPr>
          <w:rFonts w:ascii="Times New Roman" w:hAnsi="Times New Roman"/>
          <w:i/>
          <w:sz w:val="28"/>
          <w:szCs w:val="28"/>
        </w:rPr>
        <w:t xml:space="preserve">(подробная информация по подготовке и проведению выборов в Национальное собрание содержится на официальном сайте Центральной комиссии: </w:t>
      </w:r>
      <w:hyperlink r:id="rId4" w:history="1">
        <w:r w:rsidRPr="0079459F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http://www.rec.gov.by/</w:t>
        </w:r>
      </w:hyperlink>
      <w:r w:rsidRPr="0079459F">
        <w:rPr>
          <w:rFonts w:ascii="Times New Roman" w:hAnsi="Times New Roman"/>
          <w:i/>
          <w:sz w:val="28"/>
          <w:szCs w:val="28"/>
        </w:rPr>
        <w:t>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79459F">
        <w:rPr>
          <w:rFonts w:ascii="Times New Roman" w:hAnsi="Times New Roman"/>
          <w:b/>
          <w:sz w:val="28"/>
          <w:szCs w:val="28"/>
        </w:rPr>
        <w:t>три основные формы предвыборной агитации</w:t>
      </w:r>
      <w:r w:rsidRPr="0079459F">
        <w:rPr>
          <w:rFonts w:ascii="Times New Roman" w:hAnsi="Times New Roman"/>
          <w:sz w:val="28"/>
          <w:szCs w:val="28"/>
        </w:rPr>
        <w:t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возможностью использования указанных форм.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определяет Центральная комиссия.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Кандидаты в депутаты и их доверенные лица в целях осуществления предвыборной агитации могут </w:t>
      </w:r>
      <w:r w:rsidRPr="0079459F">
        <w:rPr>
          <w:rFonts w:ascii="Times New Roman" w:hAnsi="Times New Roman"/>
          <w:b/>
          <w:sz w:val="28"/>
          <w:szCs w:val="28"/>
        </w:rPr>
        <w:t>проводить массовые мероприятия</w:t>
      </w:r>
      <w:r w:rsidRPr="0079459F">
        <w:rPr>
          <w:rFonts w:ascii="Times New Roman" w:hAnsi="Times New Roman"/>
          <w:sz w:val="28"/>
          <w:szCs w:val="28"/>
        </w:rPr>
        <w:t xml:space="preserve"> (собрания вне помещений, митинги, пикетирование) </w:t>
      </w:r>
      <w:r w:rsidRPr="0079459F">
        <w:rPr>
          <w:rFonts w:ascii="Times New Roman" w:hAnsi="Times New Roman"/>
          <w:b/>
          <w:sz w:val="28"/>
          <w:szCs w:val="28"/>
        </w:rPr>
        <w:t>в уведомительном порядке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Расходы по подготовке и проведению выборов</w:t>
      </w:r>
      <w:r w:rsidRPr="0079459F">
        <w:rPr>
          <w:rFonts w:ascii="Times New Roman" w:hAnsi="Times New Roman"/>
          <w:sz w:val="28"/>
          <w:szCs w:val="28"/>
        </w:rPr>
        <w:t xml:space="preserve"> депутатов Палаты представителей осуществляются за счет средств республиканского бюджета, а также за счет средств организаций, общественных объединений и граждан Республики Беларусь, которые вносятся во </w:t>
      </w:r>
      <w:r w:rsidRPr="0079459F">
        <w:rPr>
          <w:rFonts w:ascii="Times New Roman" w:hAnsi="Times New Roman"/>
          <w:b/>
          <w:sz w:val="28"/>
          <w:szCs w:val="28"/>
        </w:rPr>
        <w:t>внебюджетный фонд, создаваемый Центральной комиссией</w:t>
      </w:r>
      <w:r w:rsidRPr="0079459F">
        <w:rPr>
          <w:rFonts w:ascii="Times New Roman" w:hAnsi="Times New Roman"/>
          <w:sz w:val="28"/>
          <w:szCs w:val="28"/>
        </w:rPr>
        <w:t xml:space="preserve"> для дополнительного финансирования расходов. Кандидаты в депутаты вправе создавать </w:t>
      </w:r>
      <w:r w:rsidRPr="0079459F">
        <w:rPr>
          <w:rFonts w:ascii="Times New Roman" w:hAnsi="Times New Roman"/>
          <w:b/>
          <w:sz w:val="28"/>
          <w:szCs w:val="28"/>
        </w:rPr>
        <w:t>собственные избирательные фонды</w:t>
      </w:r>
      <w:r w:rsidRPr="0079459F">
        <w:rPr>
          <w:rFonts w:ascii="Times New Roman" w:hAnsi="Times New Roman"/>
          <w:sz w:val="28"/>
          <w:szCs w:val="28"/>
        </w:rPr>
        <w:t xml:space="preserve"> для финансирования расходов по предвыборной агитации. </w:t>
      </w:r>
    </w:p>
    <w:p w:rsidR="0035362C" w:rsidRDefault="0035362C" w:rsidP="0035362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5362C" w:rsidRDefault="0035362C" w:rsidP="0035362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5362C" w:rsidRPr="0079459F" w:rsidRDefault="0035362C" w:rsidP="0035362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Справочно.</w:t>
      </w:r>
    </w:p>
    <w:p w:rsidR="0035362C" w:rsidRPr="0079459F" w:rsidRDefault="0035362C" w:rsidP="0035362C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рублей). </w:t>
      </w:r>
      <w:r w:rsidRPr="0079459F">
        <w:rPr>
          <w:rFonts w:ascii="Times New Roman" w:hAnsi="Times New Roman"/>
          <w:i/>
          <w:sz w:val="28"/>
          <w:szCs w:val="28"/>
        </w:rPr>
        <w:t xml:space="preserve">Причем кандидат вправе сформировать этот фонд полностью за счет своих собственных средств. Граждане Беларуси могут осуществлять добровольные пожертвования в избирательные фонды кандидатов в размере не более 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рубля), юрлица – до 10 базовых величин (до 255 рублей). В этом году средства в избирательные фонды кандидатов в депутаты можно перечислять через интернет-банкинг.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Важной стадией кампании по выборам депутатов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</w:rPr>
        <w:t>голосование и подсчет голосов избирателей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459F">
        <w:rPr>
          <w:rFonts w:ascii="Times New Roman" w:hAnsi="Times New Roman"/>
          <w:sz w:val="28"/>
          <w:szCs w:val="28"/>
        </w:rPr>
        <w:t xml:space="preserve">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79459F">
        <w:rPr>
          <w:rFonts w:ascii="Times New Roman" w:hAnsi="Times New Roman"/>
          <w:b/>
          <w:sz w:val="28"/>
          <w:szCs w:val="28"/>
        </w:rPr>
        <w:t>досрочное голосование в течение пяти дней до выборов</w:t>
      </w:r>
      <w:r w:rsidRPr="0079459F">
        <w:rPr>
          <w:rFonts w:ascii="Times New Roman" w:hAnsi="Times New Roman"/>
          <w:sz w:val="28"/>
          <w:szCs w:val="28"/>
        </w:rPr>
        <w:t xml:space="preserve">, а также </w:t>
      </w:r>
      <w:r w:rsidRPr="0079459F">
        <w:rPr>
          <w:rFonts w:ascii="Times New Roman" w:hAnsi="Times New Roman"/>
          <w:b/>
          <w:sz w:val="28"/>
          <w:szCs w:val="28"/>
        </w:rPr>
        <w:t>голосование по месту нахождения граждан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z w:val="28"/>
          <w:szCs w:val="28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79459F">
        <w:rPr>
          <w:rFonts w:ascii="Times New Roman" w:hAnsi="Times New Roman"/>
          <w:sz w:val="28"/>
          <w:szCs w:val="28"/>
        </w:rPr>
        <w:t>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Граждане, находящиеся за рубежом, могут проголосовать на участках для голосования, которые образуются дипломатическими представительствами страны.</w:t>
      </w:r>
    </w:p>
    <w:p w:rsidR="0035362C" w:rsidRPr="0079459F" w:rsidRDefault="0035362C" w:rsidP="0035362C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Значимость участия граждан в избирательной кампании.</w:t>
      </w:r>
      <w:r w:rsidRPr="0079459F">
        <w:rPr>
          <w:rFonts w:ascii="Times New Roman" w:hAnsi="Times New Roman"/>
          <w:sz w:val="28"/>
          <w:szCs w:val="28"/>
        </w:rPr>
        <w:t xml:space="preserve"> Выборы являются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частью механизма, позволяющего улучшить жизнь людей. Поэтому можно выделить ряд причин, почему важно идти на участки для голосования.</w:t>
      </w:r>
    </w:p>
    <w:p w:rsidR="0035362C" w:rsidRPr="0079459F" w:rsidRDefault="0035362C" w:rsidP="0035362C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</w:rPr>
        <w:t>Во-первых, право избирать и быть избранным</w:t>
      </w:r>
      <w:r w:rsidRPr="0079459F">
        <w:rPr>
          <w:rFonts w:ascii="Times New Roman" w:hAnsi="Times New Roman"/>
          <w:b/>
          <w:sz w:val="28"/>
          <w:szCs w:val="28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 xml:space="preserve">закреплено в Конституции Республики Беларусь (статья 38).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Это право дает возможность каждому гражданину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участвовать в процессе управления государством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оказывать влияние на власть. </w:t>
      </w:r>
    </w:p>
    <w:p w:rsidR="0035362C" w:rsidRPr="0079459F" w:rsidRDefault="0035362C" w:rsidP="0035362C">
      <w:pPr>
        <w:spacing w:after="0" w:line="23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79459F"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Во-вторых,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реализуя избирательное право, граждане делегируют народному избраннику полномочия по решению важных государственных вопросов, тем самым демонстрируя свое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доверие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362C" w:rsidRPr="0079459F" w:rsidRDefault="0035362C" w:rsidP="0035362C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В-третьих, участие в выборах говорит о наличии настоящей, а не декларативной,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гражданской позиции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, которая достойна уважения.</w:t>
      </w:r>
    </w:p>
    <w:p w:rsidR="0035362C" w:rsidRPr="0079459F" w:rsidRDefault="0035362C" w:rsidP="0035362C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pacing w:val="-6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Четвертая причина –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ответственность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. Каждый избиратель несет ответственность за то, что происходит сейчас и будет происходить в </w:t>
      </w:r>
      <w:proofErr w:type="gramStart"/>
      <w:r w:rsidRPr="0079459F">
        <w:rPr>
          <w:rFonts w:ascii="Times New Roman" w:hAnsi="Times New Roman"/>
          <w:sz w:val="28"/>
          <w:szCs w:val="28"/>
          <w:shd w:val="clear" w:color="auto" w:fill="FFFFFF"/>
        </w:rPr>
        <w:t>дальнейшем</w:t>
      </w:r>
      <w:proofErr w:type="gramEnd"/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 как в республике, так и в отдельно взятом населенном пункте в ближайшие несколько лет.</w:t>
      </w:r>
    </w:p>
    <w:p w:rsidR="0035362C" w:rsidRPr="0079459F" w:rsidRDefault="0035362C" w:rsidP="0035362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35362C" w:rsidRPr="0079459F" w:rsidRDefault="0035362C" w:rsidP="0035362C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79459F">
        <w:rPr>
          <w:i/>
          <w:sz w:val="28"/>
          <w:szCs w:val="28"/>
        </w:rPr>
        <w:t>. Будут изготовлены специальные кабины для голосования, оборудованные низким столом, чтобы можно было проголосовать гражданину в инвалидной коляске. Такими кабинами могут воспользоваться и пожилые люди.</w:t>
      </w:r>
    </w:p>
    <w:p w:rsidR="0035362C" w:rsidRPr="0079459F" w:rsidRDefault="0035362C" w:rsidP="0035362C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</w:rPr>
        <w:lastRenderedPageBreak/>
        <w:t xml:space="preserve">Телекомпании будут транслировать выступления кандидатов с субтитрами для слабослышащих избирателей или сурдопереводом. Как и ранее, обязательно будут предусматриваться трафареты для самостоятельного голосования слепых граждан, а также предоставляться лупы </w:t>
      </w:r>
      <w:proofErr w:type="gramStart"/>
      <w:r w:rsidRPr="0079459F">
        <w:rPr>
          <w:i/>
          <w:sz w:val="28"/>
          <w:szCs w:val="28"/>
        </w:rPr>
        <w:t>для</w:t>
      </w:r>
      <w:proofErr w:type="gramEnd"/>
      <w:r w:rsidRPr="0079459F">
        <w:rPr>
          <w:i/>
          <w:sz w:val="28"/>
          <w:szCs w:val="28"/>
        </w:rPr>
        <w:t xml:space="preserve"> слабовидящих.</w:t>
      </w:r>
    </w:p>
    <w:p w:rsidR="0035362C" w:rsidRPr="0079459F" w:rsidRDefault="0035362C" w:rsidP="0035362C">
      <w:pPr>
        <w:pStyle w:val="a6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  <w:shd w:val="clear" w:color="auto" w:fill="FFFFFF"/>
        </w:rPr>
        <w:t>Еще одной из новаций текущих выборов стала разработка мобильного приложения к смартфонам, которое будет действовать по всей стране. Избиратель сможет определить округ и местонахождение своего участка.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35362C" w:rsidRPr="0079459F" w:rsidRDefault="0035362C" w:rsidP="0035362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35362C" w:rsidRPr="0079459F" w:rsidRDefault="0035362C" w:rsidP="0035362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35362C" w:rsidRPr="0079459F" w:rsidRDefault="0035362C" w:rsidP="0035362C">
      <w:pPr>
        <w:spacing w:after="0" w:line="235" w:lineRule="auto"/>
        <w:ind w:firstLine="709"/>
        <w:jc w:val="center"/>
        <w:rPr>
          <w:sz w:val="28"/>
          <w:szCs w:val="28"/>
        </w:rPr>
      </w:pPr>
      <w:r w:rsidRPr="0079459F">
        <w:rPr>
          <w:sz w:val="28"/>
          <w:szCs w:val="28"/>
        </w:rPr>
        <w:t>*****</w:t>
      </w:r>
    </w:p>
    <w:p w:rsidR="0035362C" w:rsidRPr="0079459F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 xml:space="preserve"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</w:t>
      </w:r>
      <w:proofErr w:type="gramStart"/>
      <w:r w:rsidRPr="0079459F">
        <w:rPr>
          <w:rFonts w:ascii="Times New Roman" w:hAnsi="Times New Roman"/>
          <w:color w:val="000000"/>
          <w:sz w:val="28"/>
          <w:szCs w:val="28"/>
        </w:rPr>
        <w:t>зависит</w:t>
      </w:r>
      <w:proofErr w:type="gramEnd"/>
      <w:r w:rsidRPr="0079459F">
        <w:rPr>
          <w:rFonts w:ascii="Times New Roman" w:hAnsi="Times New Roman"/>
          <w:color w:val="000000"/>
          <w:sz w:val="28"/>
          <w:szCs w:val="28"/>
        </w:rPr>
        <w:t xml:space="preserve"> в каком направлении будет развиваться Беларусь.</w:t>
      </w:r>
    </w:p>
    <w:p w:rsidR="0035362C" w:rsidRPr="0079459F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 xml:space="preserve">Не случайно 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предстоящие выборы Президент Республики Беларусь А.Г.Лукашенко назвал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9459F">
        <w:rPr>
          <w:rFonts w:ascii="Times New Roman" w:hAnsi="Times New Roman"/>
          <w:color w:val="000000"/>
          <w:sz w:val="28"/>
          <w:szCs w:val="28"/>
        </w:rPr>
        <w:t>.</w:t>
      </w:r>
    </w:p>
    <w:p w:rsidR="0035362C" w:rsidRPr="0079459F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</w:t>
      </w:r>
      <w:proofErr w:type="gramStart"/>
      <w:r w:rsidRPr="0079459F">
        <w:rPr>
          <w:rFonts w:ascii="Times New Roman" w:hAnsi="Times New Roman"/>
          <w:i/>
          <w:sz w:val="28"/>
          <w:szCs w:val="28"/>
          <w:lang w:eastAsia="ru-RU"/>
        </w:rPr>
        <w:t>при</w:t>
      </w:r>
      <w:proofErr w:type="gramEnd"/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9459F">
        <w:rPr>
          <w:rFonts w:ascii="Times New Roman" w:hAnsi="Times New Roman"/>
          <w:i/>
          <w:sz w:val="28"/>
          <w:szCs w:val="28"/>
          <w:lang w:eastAsia="ru-RU"/>
        </w:rPr>
        <w:t>Президенте</w:t>
      </w:r>
      <w:proofErr w:type="gramEnd"/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 Республики Беларусь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Палаты представителей и Совета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Национального собрания Республики Беларусь,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Национального центра законодательства и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правовых исследований Республики Беларусь,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Белорусского института стратегических исследований</w:t>
      </w: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Pr="0079459F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 xml:space="preserve">О ПРИНИМАЕМЫХ МЕРАХ ПО  СОЦИАЛЬНО-ЭКОНОМИЧЕСКОМУ РАЗВИТИЮ МОГИЛЕВСКОЙ ОБЛАСТИ </w:t>
      </w:r>
    </w:p>
    <w:p w:rsidR="0035362C" w:rsidRPr="0079459F" w:rsidRDefault="0035362C" w:rsidP="0035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темой в государственной политике Республики Беларусь всегда остается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оставаться забота о человеке.</w:t>
      </w:r>
      <w:r w:rsidRPr="0079459F">
        <w:rPr>
          <w:rFonts w:ascii="Times New Roman" w:hAnsi="Times New Roman"/>
          <w:sz w:val="28"/>
          <w:szCs w:val="28"/>
        </w:rPr>
        <w:t xml:space="preserve"> Для населения  важны результаты. 2019 год – год начала важнейших для будущего Беларуси избирательных кампаний.  Люди должны почувствовать реальное улучшение ситуации в экономике, увидеть, что могут зарабатывать больше, и на этой основе обеспечить себе достойное качество жизни... 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текущем году наша страна вступает в очередную  избирательную кампанию по выборам в Совет Республики и Палату представителей Национального собрания Республики Беларусь 7-го созыва. Они пройдут соответственно 7 и 17 ноября 2019 года.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Предыдущая избирательная кампания такого уровня  проводилась в 2016 году. Этот период не прошел для нашей страны, и в особенности для нашей области незаметно, мы достигли определенных успехов в различных сферах. Руководством Могилевской области создаются достойные условия для полноценной и комфортной жизни граждан. Вводятся в эксплуатацию новые социально-значимые объекты. Наука не стоит на месте. Охрана здоровья является одним из основных приоритетов в работе исполнительной власти области: из года в год растут расходы бюджета на реализацию проектов в области социальной инфраструктуры, планомерно реализуются государственные и региональные программы развития всех отраслей народного хозяйства.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Экономика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За период с 2016 года по январь-август 2019 г. в области уже обеспечено выполнение таких основных показателей социально-экономического развития как: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привлечение прямых иностранных инвестиций на чистой основе;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товаров;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услуг.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  <w:lang w:eastAsia="ru-RU"/>
        </w:rPr>
        <w:t xml:space="preserve">Проводимая облисполкомом работа по созданию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благоприятных условий для привлечения инвестиций и повышения инвестиционной привлекательности </w:t>
      </w:r>
      <w:r w:rsidRPr="0079459F">
        <w:rPr>
          <w:rFonts w:ascii="Times New Roman" w:hAnsi="Times New Roman"/>
          <w:sz w:val="28"/>
          <w:szCs w:val="28"/>
          <w:lang w:eastAsia="ru-RU"/>
        </w:rPr>
        <w:t>области, продвижению ее положительного имиджа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позволила в период с 2016 года –1 полугодие 2019 г. привлечь в экономику Могилевской области 948,3 млн. долларов иностранных инвестиций, из них 645,3 млн. долларов, или 68 процентов, – это прямые инвестиции. Объем прямых иностранных инвестиций на чистой основе в целом по региону превысил 288 млн. долларов.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2016 года в области реализован (осуществлен ввод в эксплуатацию) ряд значимых для экономики региона инвестиционных проектов, в том числе: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«Реконструкция цеха по производству сухих кормов № 2 ОАО «Александрийское» (инвестор – ОАО «Александрийское», в рамках реализации инвестиционного проекта освоено инвестиций в сумме 21,1 млн. рублей, создано 28 рабочих мест);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«Комплексная модернизация процессов рафинации растительных масел в ОАО «БЗРМ» (инвестор – ОАО «Бобруйский завод растительных масел», в рамках реализации инвестиционного проекта освоено инвестиций в сумме 5,2 млн. рублей);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«Модернизация ОАО «Могилевлифтмаш» (инвестор – ОАО «Могилевлифтмаш», в рамках реализации инвестиционного проекта освоено инвестиций в сумме 10,1 млн. рублей);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«Модернизация производства стальных дверей» (инвестор – ЧПТУП «Стальная линия», в рамках реализации инвестиционного проекта освоено инвестиций в сумме 2,3 млн. рублей, создано 13 рабочих мест);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 ввод в эксплуатацию автоцентра полного цикла «Renault» в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. Могилеве» (инвестор – ООО «АПС Могилев плюс», в рамках реализации инвестиционного проекта освоено инвестиций в сумме 3,6 млн. рублей, создано 51 рабочее место);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мясожирового цеха ОАО «Бобруйский мясокомбинат» (инвестор – ОАО «Бобруйский мясокомбинат», в рамках реализации инвестиционного проекта освоено инвестиций в сумме 45,9 млн. рублей)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производственной базы с организацией производств по выпуску сухих строительных смесей, товарных бетонов и растворов, изготовлению железобетонных изделий, устройству дорожных покрытий из бетона в г. Чаусы Могилевской области» (инвесторы – ЧПУП «Барс-Инвест» и ООО «Бергауф Чаусы», в рамках реализации инвестиционного проекта освоено инвестиций в сумме 10,1 млн. рублей, создано 45 рабочих мест).</w:t>
      </w:r>
      <w:proofErr w:type="gramEnd"/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«Строительство административно-делового центра с паркингом и благоустройством прилегающей территории по ул. Лепешинского, 12 в </w:t>
      </w:r>
      <w:proofErr w:type="gramStart"/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 Могилеве»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(инвестор – ООО «Шафаг 88», в рамках реализации инвестиционного проекта освоено инвестиций в сумме 36,9 млн. рублей, создано 626 рабочих мест).</w:t>
      </w:r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норм Декрета Президента Республики Беларусь от 6 августа 2009 г. № 10 «О создании дополнительных условий для осуществления инвестиций в Республике Беларусь» за период 2016 год - 8 месяцев 2019 г.</w:t>
      </w:r>
      <w:r w:rsidRPr="0079459F">
        <w:rPr>
          <w:rFonts w:ascii="Times New Roman" w:hAnsi="Times New Roman"/>
          <w:sz w:val="28"/>
          <w:szCs w:val="28"/>
        </w:rPr>
        <w:t xml:space="preserve"> Могилевским облисполкомом заключено 52 инвестиционных договора с общим объемом заявленных инвестиций 534,7 млн. рублей, предусматривающих создание 1336 новых рабочих мест.</w:t>
      </w:r>
      <w:proofErr w:type="gramEnd"/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Основными сферами являются создание объектов сельскохозяйственного производства (животноводство, производство овощей в закрытом грунте) и переработки сельскохозяйственной продукции, создание и модернизация литейных и металлообрабатывающих производств, производств легкой промышленности и машиностроения, строительство коммерческой недвижимости. Наиболее крупными из инвестиционных проектов, реализация которых началась в 2016-2019 годах, являются:</w:t>
      </w:r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создание объекта «Агропредприятие «Белдан» по производству зерна и датской беконной свинины мощностью 53 000 голов в год вблизи дер. Ветка </w:t>
      </w:r>
      <w:r w:rsidRPr="0079459F">
        <w:rPr>
          <w:rFonts w:ascii="Times New Roman" w:hAnsi="Times New Roman"/>
          <w:sz w:val="28"/>
          <w:szCs w:val="28"/>
        </w:rPr>
        <w:lastRenderedPageBreak/>
        <w:t>Белыничского района» (инвестор – ИООО «БОННЕТИ»), объем инвестиций – 66 млн. рублей, предусмотрено создание 48 рабочих мест;</w:t>
      </w:r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строительство свиноводческого комплекса проектной мощностью 24 000 голов в год ОАО «Могилевский мясокомбинат» в районе дер. Перегон Славгородского района, объем инвестиций – 46 млн. рублей, предусмотрено создание 57 рабочих мест;</w:t>
      </w:r>
    </w:p>
    <w:p w:rsidR="0035362C" w:rsidRPr="0079459F" w:rsidRDefault="0035362C" w:rsidP="0035362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модернизация производства ОАО «Моготекс» в </w:t>
      </w:r>
      <w:proofErr w:type="gramStart"/>
      <w:r w:rsidRPr="0079459F">
        <w:rPr>
          <w:rFonts w:ascii="Times New Roman" w:hAnsi="Times New Roman"/>
          <w:sz w:val="28"/>
          <w:szCs w:val="28"/>
        </w:rPr>
        <w:t>г</w:t>
      </w:r>
      <w:proofErr w:type="gramEnd"/>
      <w:r w:rsidRPr="0079459F">
        <w:rPr>
          <w:rFonts w:ascii="Times New Roman" w:hAnsi="Times New Roman"/>
          <w:sz w:val="28"/>
          <w:szCs w:val="28"/>
        </w:rPr>
        <w:t>. Могилеве, объем инвестиций – 54 млн. рублей;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  <w:lang w:val="en-US"/>
        </w:rPr>
        <w:t>C</w:t>
      </w:r>
      <w:r w:rsidRPr="0079459F">
        <w:rPr>
          <w:rFonts w:ascii="Times New Roman" w:hAnsi="Times New Roman"/>
          <w:sz w:val="28"/>
          <w:szCs w:val="28"/>
        </w:rPr>
        <w:t xml:space="preserve"> 2016 года отмечается значительное оживление и во внешнеэкономической деятельности области.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Объем экспорта увеличился в целом по области более чем в 1,1 раза (с 1,8 до 2,1 млрд. долларов), по организациям коммунальной и без ведомственной подчиненности – почти в 1,3 раза (с 0,9 млрд. долларов до 1,1 млрд. долларов). Увеличилось и количество субъектов хозяйствования, осуществляющих внешнеэкономическую деятельность – с 1340 до 1442, экспортные поставки – с 766 до 867.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 года в год увеличивается положительное сальдо внешней торговли. Если в 2016 году оно составляло 688,5 млн. долларов, то по итогам 2018 года уже 714,7 млн. долларов. 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Такая тенденция обусловлена активным вовлечением организаций частной формы собственности во внешнеэкономическую деятельность, которые создают экспортоориентированные производства с привлечением иностранных инвестиций и выпускают продукцию с высокой добавленной стоимостью. </w:t>
      </w:r>
    </w:p>
    <w:p w:rsidR="0035362C" w:rsidRPr="0079459F" w:rsidRDefault="0035362C" w:rsidP="0035362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Сегодня удельный вес организаций частной формы собственности в общем объеме экспорта составляет 44,4% против 34,9% в 2016 году. 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У Могилевского облисполкома действует более 50 Соглашений о сотрудничестве с регионами зарубежных государств. Подписано более 25 документов о сотрудничестве с российскими регионами.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Заметно активизировалось сотрудничество с Китаем. Сегодня оно успешно осуществляется с пятью провинциями. За последние годы заключены Соглашения с провинциями Цзянсу, Шэньси и г</w:t>
      </w:r>
      <w:proofErr w:type="gramStart"/>
      <w:r w:rsidRPr="0079459F">
        <w:rPr>
          <w:rFonts w:ascii="Times New Roman" w:hAnsi="Times New Roman"/>
          <w:sz w:val="28"/>
          <w:szCs w:val="28"/>
        </w:rPr>
        <w:t>.Т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яньцзинь. 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внимание уделяется установлению сотрудничества со странами так называемой «дальней дуги». 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Появились партнеры в Бразилии (штат Сеара), Пакистане (провинция Пенджаб), ЮАР (провинция Мпумаланга), Румынии (уезд Клуж) и др. 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Расширилась география сотрудничества и со странами СНГ. Установлено сотрудничество с регионами Грузии, Кыргызстана, Узбекистана, Таджикистана. 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Расширяется география поставок продукции на экспорт. Могилевская область поддерживает торговые связи со 109 государствами мира. Продукция области экспортируются в 96 стран мира.</w:t>
      </w:r>
    </w:p>
    <w:p w:rsidR="0035362C" w:rsidRPr="0079459F" w:rsidRDefault="0035362C" w:rsidP="0035362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Этому способствует системная работа по развитию межрегионального сотрудничества, которая направлена на диверсификацию экспорта.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В текущей пятилетке малый и средний бизнес занял в экономике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Могилевской области </w:t>
      </w: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устойчивое положение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и продолжает наращивать свои позиции.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На 1 января 2019 г. в области насчитывалось более 8,7 тысяч микр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, малых и средних организаций и 23,3 тысяч индивидуальных предпринимателей.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Занятость населения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Важнейшую роль в реализации социальной политики играет обеспечение эффективной занятости населения.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За  период с 2016 года в органы по труду, занятости и социальной защите горрайисполкомов за содействием в трудоустройстве обратилось более 120 тысяч граждан, зарегистрировано безработными свыше  77,5 тысяч человек.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содействии государственной службы занятости трудоустроено более 90 тысяч человек, в том числе почти 57 тысяч безработных.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последние годы спрос на рабочую силу растет. На одного безработного в среднем приходится более 5 вакансий.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пройти профессиональную подготовку, переподготовку и повышение квалификации получили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более около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5 тысяч граждан.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воспользовались государственной поддержкой и получили субсидии для организации предпринимательской деятельности, услуг в сфере агроэкотуризма почти тысяча безработных.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Незанятым гражданам, испытывающим трудности в поиске постоянной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работы, есть возможность временно трудоустроится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оплачиваемые общественные работы. Такой формой работы охвачено около 30 тысяч человек.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нашем обществе есть граждане, которые особо нуждаются в социальной защите и не способны на равных условиях конкурировать на рынке труда. Таким людям необходимо особое внимание. При содействии службы занятости с 2016 года трудоустроено почти полторы тысячи инвалидов, при необходимости  было организовано индивидуальное сопровождение инвалидов при их трудоустройстве.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17 тысяч учащихся и студентов в свободное от учебы время приобрели свой первый трудовой опыт, для них была организована временная трудовая занятость.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области наблюдается устойчивая тенденция снижения уровня зарегистрированной безработицы, на 1 октября 2019 г. он составил 0,4%.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Заработная плата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в области отмечен поступательный рост заработной платы. В 2018 году по отношению к 2016 году увеличилась реальная заработная плата на 17,9%.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итогам января-августа 2019 года реальная заработная плата по области выросла к соответствующему периоду прошлого года на 5,7%. Заработная плата за август 2019 г. по области составила 934,6 рубля.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бюджетной сфере заработная плата за январь-август составила 87,6% от среднемесячной заработной платы по области в целом.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Пенсионное обеспечение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основных составляющих государственной социальной поддержки граждан является пенсионное обеспечение. 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Различные виды пенсий в органах по труду, занятости и социальной защите Могилевской области получают 291тысяча человек или более 27 % от численности населения области.</w:t>
      </w:r>
    </w:p>
    <w:p w:rsidR="0035362C" w:rsidRPr="0079459F" w:rsidRDefault="0035362C" w:rsidP="0035362C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августа 2019 года  составляет 443,81 руб. и увеличился к январю 2019 г. на 13,6 %, к январю 2016 года - на 53,3 %.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Сфера жилищно-коммунального хозяйства.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Повышение эффективности и надежности работы жилищн</w:t>
      </w:r>
      <w:proofErr w:type="gramStart"/>
      <w:r w:rsidRPr="0079459F">
        <w:rPr>
          <w:rFonts w:ascii="Times New Roman" w:hAnsi="Times New Roman"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коммунального хозяйства, предоставление услуг надлежащего качества и в востребованных объемах при одновременном снижении затрат на их оказание - главная задача, стоящая перед предприятиями жилищно- коммунального хозяйства. 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ее решения разработан и реализуется региональный комплекс мероприятий по реализации в Могилевской области Государственной программы «Комфортное жилье и благоприятная среда» на 2016-2020 годы.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оценки эффективности реализации Государственной программы определен сводный целевой показатель - снижение затрат на оказание ЖКУ населению (в сопоставимых условиях) и целевые показатели подпрограмм по организациям, например: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1.</w:t>
      </w:r>
      <w:r w:rsidRPr="0079459F">
        <w:rPr>
          <w:rFonts w:ascii="Times New Roman" w:hAnsi="Times New Roman"/>
          <w:sz w:val="28"/>
          <w:szCs w:val="28"/>
        </w:rPr>
        <w:tab/>
        <w:t>ежегодное в 2017-2020 гг. снижение затрат на оказание ЖКУ населению (в сопоставимых условиях к уровню предыдущего года) не менее 5%;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в ходе работы, проводимой предприятиями жилищн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коммунального хозяйства области по снижению затрат, ежегодно выполняется задание по снижению затрат от оказания жилищно-коммунальных услуг населению в сопоставимых условиях в размере не менее 5% (2017 год - 5,3%, 2018 год - 5,24%, ожидаемый показатель за 9 месяцев 2019 года - 5,4%).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2.</w:t>
      </w:r>
      <w:r w:rsidRPr="0079459F">
        <w:rPr>
          <w:rFonts w:ascii="Times New Roman" w:hAnsi="Times New Roman"/>
          <w:sz w:val="28"/>
          <w:szCs w:val="28"/>
        </w:rPr>
        <w:tab/>
        <w:t>ежегодное уменьшение на 1,5% претензий на качество оказываемых ЖКУ к предыдущему году;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за 2017 год снижение претензий на качество оказываемых жилищн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коммунальных услуг к соответствующему периоду прошлого года составило 1%, ожидаемое снижение за январь-сентябрь 2019 года составит 8,4%.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3.</w:t>
      </w:r>
      <w:r w:rsidRPr="0079459F">
        <w:rPr>
          <w:rFonts w:ascii="Times New Roman" w:hAnsi="Times New Roman"/>
          <w:sz w:val="28"/>
          <w:szCs w:val="28"/>
        </w:rPr>
        <w:tab/>
        <w:t>ежегодная замена 4% тепловых сетей;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за период 2016 - 9 месяцев 2019 годов произведена замена 362,2 км тепловых сетей на Пи-трубы, что ежегодно составляет не менее 4% от их общей протяженности.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4.</w:t>
      </w:r>
      <w:r w:rsidRPr="0079459F">
        <w:rPr>
          <w:rFonts w:ascii="Times New Roman" w:hAnsi="Times New Roman"/>
          <w:sz w:val="28"/>
          <w:szCs w:val="28"/>
        </w:rPr>
        <w:tab/>
        <w:t>снижение потерь тепловой энергии собственного производства с 12% в 2016 г. до 10% в 2020 г.;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Справочно: потери тепловой энергии при ее транспортировке от 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собственных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теплоисточников за 2018 год снижены по отношению к 2016 году на 2,6 процентных пункта. За 9 месяцев текущего года уровень потерь ожидается на уровне 11 % при задании 11 %.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5.</w:t>
      </w:r>
      <w:r w:rsidRPr="0079459F">
        <w:rPr>
          <w:rFonts w:ascii="Times New Roman" w:hAnsi="Times New Roman"/>
          <w:sz w:val="28"/>
          <w:szCs w:val="28"/>
        </w:rPr>
        <w:tab/>
        <w:t>увеличение ввода общей площади жилых домов после капитального ремонта;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6.</w:t>
      </w:r>
      <w:r w:rsidRPr="0079459F">
        <w:rPr>
          <w:rFonts w:ascii="Times New Roman" w:hAnsi="Times New Roman"/>
          <w:sz w:val="28"/>
          <w:szCs w:val="28"/>
        </w:rPr>
        <w:tab/>
        <w:t>замена и модернизация лифтов, отработавших нормативные сроки эксплуатации;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в целях улучшения комфортности проживания граждан ежегодно выполняются работы по капитальному ремонту с вводом общей площади жилых домов после капитального ремонта и замене лифтов, отработавших нормативные сроки эксплуатации. За период 2016 - 9 месяцев 2019 года введено в эксплуатацию 1136,4 тыс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>2 площади жилых помещений после капитального ремонта, произведена замена и модернизация 836 лифтов, отработавших нормативные сроки эксплуатации.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7.</w:t>
      </w:r>
      <w:r w:rsidRPr="0079459F">
        <w:rPr>
          <w:rFonts w:ascii="Times New Roman" w:hAnsi="Times New Roman"/>
          <w:sz w:val="28"/>
          <w:szCs w:val="28"/>
        </w:rPr>
        <w:tab/>
        <w:t>обеспеченность к 2020 г. 100% потребителей водоснабжением питьевого качества;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обеспеченность потребителей водоснабжением питьевого качества увеличилась с 2016 года на 10,1 процентного пункта и составила за 9 месяцев 2019 года 90,3%.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увеличения процента охвата населения централизованным водоснабжением выполнены работы по реконструкции водопроводных сетей протяженностью 8679м, построена водопроводная сеть протяженностью 4673 м.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целях ликвидации аварийной обстановки и обеспечения устойчивого водоотведения проведены работы по реконструкции: очистных сооружений в д. Свадковичи Кричевского района, канализационного коллектора в </w:t>
      </w:r>
      <w:proofErr w:type="gramStart"/>
      <w:r w:rsidRPr="0079459F">
        <w:rPr>
          <w:rFonts w:ascii="Times New Roman" w:hAnsi="Times New Roman"/>
          <w:sz w:val="28"/>
          <w:szCs w:val="28"/>
        </w:rPr>
        <w:t>г</w:t>
      </w:r>
      <w:proofErr w:type="gramEnd"/>
      <w:r w:rsidRPr="0079459F">
        <w:rPr>
          <w:rFonts w:ascii="Times New Roman" w:hAnsi="Times New Roman"/>
          <w:sz w:val="28"/>
          <w:szCs w:val="28"/>
        </w:rPr>
        <w:t>. Быхове протяженностью 835 м, канализационного коллектора в г. Бобруйске протяженностью 1265 м.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обеспечения населения питьевой водой нормативного качества в 2017 году построены и сданы в эксплуатацию 6 станций обезжелезивания воды: в д. Красная Беларусь (Быховский), п. Вязье (Осиповичский), а/г Белая Дуброва (Костюковичский), а/г  Б. Мощаница (Белыничский), г</w:t>
      </w:r>
      <w:proofErr w:type="gramStart"/>
      <w:r w:rsidRPr="0079459F">
        <w:rPr>
          <w:rFonts w:ascii="Times New Roman" w:hAnsi="Times New Roman"/>
          <w:sz w:val="28"/>
          <w:szCs w:val="28"/>
        </w:rPr>
        <w:t>.Ч</w:t>
      </w:r>
      <w:proofErr w:type="gramEnd"/>
      <w:r w:rsidRPr="0079459F">
        <w:rPr>
          <w:rFonts w:ascii="Times New Roman" w:hAnsi="Times New Roman"/>
          <w:sz w:val="28"/>
          <w:szCs w:val="28"/>
        </w:rPr>
        <w:t>ерикове, г. Бобруйске (м-н Соломенка), в 2018 году - 3 станции обезжелезивания воды: г.Кричев, аг. Антоновка Чаусского района, в/</w:t>
      </w:r>
      <w:proofErr w:type="gramStart"/>
      <w:r w:rsidRPr="0079459F">
        <w:rPr>
          <w:rFonts w:ascii="Times New Roman" w:hAnsi="Times New Roman"/>
          <w:sz w:val="28"/>
          <w:szCs w:val="28"/>
        </w:rPr>
        <w:t>ч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Голынец Могилевского района.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первом полугодии текущего года построены и сданы в эксплуатацию 6 станций обезжелезивания воды в сельских населенных пунктах Могилевского района (Княжицы, Боброво-Прокшеничи, Щеглица, Горная Улица, Сташино, Заборье).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целях ликвидации аварийной обстановки и обеспечения устойчивого водоотведения проведены работы по реконструкции канализационного коллектора в </w:t>
      </w:r>
      <w:proofErr w:type="gramStart"/>
      <w:r w:rsidRPr="0079459F">
        <w:rPr>
          <w:rFonts w:ascii="Times New Roman" w:hAnsi="Times New Roman"/>
          <w:sz w:val="28"/>
          <w:szCs w:val="28"/>
        </w:rPr>
        <w:t>г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. Бобруйске протяженностью 265 м, очистных сооружений в г. </w:t>
      </w:r>
      <w:r w:rsidRPr="0079459F">
        <w:rPr>
          <w:rFonts w:ascii="Times New Roman" w:hAnsi="Times New Roman"/>
          <w:sz w:val="28"/>
          <w:szCs w:val="28"/>
        </w:rPr>
        <w:lastRenderedPageBreak/>
        <w:t xml:space="preserve">Быхове. Построен новый канализационный коллектор в </w:t>
      </w:r>
      <w:proofErr w:type="gramStart"/>
      <w:r w:rsidRPr="0079459F">
        <w:rPr>
          <w:rFonts w:ascii="Times New Roman" w:hAnsi="Times New Roman"/>
          <w:sz w:val="28"/>
          <w:szCs w:val="28"/>
        </w:rPr>
        <w:t>г</w:t>
      </w:r>
      <w:proofErr w:type="gramEnd"/>
      <w:r w:rsidRPr="0079459F">
        <w:rPr>
          <w:rFonts w:ascii="Times New Roman" w:hAnsi="Times New Roman"/>
          <w:sz w:val="28"/>
          <w:szCs w:val="28"/>
        </w:rPr>
        <w:t>. Могилеве - 1465 метров.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Архитектура и строительство. Транспорт</w:t>
      </w:r>
    </w:p>
    <w:tbl>
      <w:tblPr>
        <w:tblW w:w="11443" w:type="dxa"/>
        <w:tblInd w:w="108" w:type="dxa"/>
        <w:tblLook w:val="04A0"/>
      </w:tblPr>
      <w:tblGrid>
        <w:gridCol w:w="9639"/>
        <w:gridCol w:w="222"/>
        <w:gridCol w:w="236"/>
        <w:gridCol w:w="236"/>
        <w:gridCol w:w="222"/>
        <w:gridCol w:w="222"/>
        <w:gridCol w:w="222"/>
        <w:gridCol w:w="222"/>
        <w:gridCol w:w="222"/>
      </w:tblGrid>
      <w:tr w:rsidR="0035362C" w:rsidRPr="0079459F" w:rsidTr="001C1C41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2019 году в Могилевской области запланировано строительство жилья для 1 188 многодетных семей. 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январь-сентябрь 2019 года построено 998 квартир для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943 многодетных семей общей площадью 64,969 тыс. кв. метров или 79,4% от плана. 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Справочно: 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2016 году построено 462 квартиры для 407 многодетных семей общей площадью 30,574 тыс. кв. метров;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2017 году - 423 квартиры для 399 многодетных семей общей площадью 30,979 тыс. кв. метров;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2018 году – 1 091 квартира для 1 021 многодетной семьи общей площадью 70,791 тыс. кв. метров.</w:t>
            </w:r>
          </w:p>
          <w:p w:rsidR="0035362C" w:rsidRPr="0079459F" w:rsidRDefault="0035362C" w:rsidP="001C1C41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сохранении финансирования в рамках реализации Указа Президента Республики Беларусь от 04.07.2017 № 240, в 2020 году планируется строительство жилья для многодетных семей на уровне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2019 года. Что позволит обеспечить выполнение поручения Президента Республики Беларусь Лукашенко А.Г. и сократить к концу 2020 года срок нахождения многодетных семей в очереди нуждающихся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улучшении жилищных условий до одного года.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362C" w:rsidRPr="0079459F" w:rsidRDefault="0035362C" w:rsidP="0035362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Среднесписочная численность работников организаций с основным видом деятельности «Строительство» по состоянию на 1 сентября 2019 года составила 14 515 человек или 95,6% к аналогичному периоду прошлого года и (по состоянию на 01.09.2019 составляла 15 176  человек).</w:t>
      </w:r>
    </w:p>
    <w:p w:rsidR="0035362C" w:rsidRPr="0079459F" w:rsidRDefault="0035362C" w:rsidP="003536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За январь-август 2019 года уровень номинальной среднемесячной заработной платы по виду экономической деятельности «Строительство» нарастающим итогом составил 956,1 рублей.</w:t>
      </w:r>
    </w:p>
    <w:p w:rsidR="0035362C" w:rsidRPr="0079459F" w:rsidRDefault="0035362C" w:rsidP="003536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5362C" w:rsidRPr="0079459F" w:rsidRDefault="0035362C" w:rsidP="0035362C">
      <w:pPr>
        <w:widowControl w:val="0"/>
        <w:autoSpaceDE w:val="0"/>
        <w:autoSpaceDN w:val="0"/>
        <w:adjustRightInd w:val="0"/>
        <w:spacing w:after="0" w:line="280" w:lineRule="exact"/>
        <w:ind w:left="709" w:right="-2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номинальная начисленная среднемесячная заработная плата работников по виду экономической деятельности «Строительство» за 2016 год составила 643,3 рубля, за 2017 год – 723,3 рубля, за 2018 год – 858,5 рублей. </w:t>
      </w:r>
    </w:p>
    <w:tbl>
      <w:tblPr>
        <w:tblW w:w="11830" w:type="dxa"/>
        <w:tblInd w:w="-34" w:type="dxa"/>
        <w:tblLook w:val="04A0"/>
      </w:tblPr>
      <w:tblGrid>
        <w:gridCol w:w="9923"/>
        <w:gridCol w:w="283"/>
        <w:gridCol w:w="236"/>
        <w:gridCol w:w="236"/>
        <w:gridCol w:w="236"/>
        <w:gridCol w:w="222"/>
        <w:gridCol w:w="236"/>
        <w:gridCol w:w="236"/>
        <w:gridCol w:w="222"/>
      </w:tblGrid>
      <w:tr w:rsidR="0035362C" w:rsidRPr="0079459F" w:rsidTr="001C1C41">
        <w:trPr>
          <w:trHeight w:val="7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целях улучшения качества перевозок пассажиров в 2016-2019 гг. ОАО «Могилевоблавтотранс» за счет бюджетных и собственных сре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иобретено 128 автобусов и 9 троллейбусов на сумму 23,1 млн. рублей.</w:t>
            </w:r>
          </w:p>
          <w:p w:rsidR="0035362C" w:rsidRPr="0079459F" w:rsidRDefault="0035362C" w:rsidP="001C1C4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Агропромышленный комплекс </w:t>
            </w:r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Могилевской области за последние 5 лет производство зерна, овощей, молока, яиц, выращивание скота и птицы превышало рекомендуемые нормы потребления, что свидетельствует о выполнении основной задачи, обеспечение граждан области продуктами питания, в полном объеме.</w:t>
            </w:r>
            <w:proofErr w:type="gramEnd"/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последние 3 года в Могилевской области обеспечен рост объемов производства сахарной свеклы в 1,8 раза, рапса в 2,1 раза, льноволокна в 1,1 </w:t>
            </w: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раза.</w:t>
            </w:r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целью 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наращивания объемов производства продукции сельского хозяйства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инициируется внедрение новых интенсивных технологий,  достижений науки и техники в области сельского хозяйства.</w:t>
            </w:r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2016 год - 9 месяцев 2019 года в области введено в эксплуатацию 29 молочно-товарных ферм. В целях наращивания производства свинины и численности свинопоголовья осуществляется комплектация нового свиноводческого комплекса с законченным циклом производства в Белыничском районе, в текущем году ОАО «Могилевский мясокомбинат» введен в эксплуатацию новый свиноводческий комплекс в Славгородском районе. Это позволит обеспечить рост объемов товарной продукции, прибыли и рентабельности продаж.</w:t>
            </w:r>
          </w:p>
          <w:p w:rsidR="0035362C" w:rsidRPr="0079459F" w:rsidRDefault="0035362C" w:rsidP="001C1C41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Проводится обновление машинно-тракторного парка. За 9 месяцев 2019 года сельскохозяйственными организациями области приобретено 132 трактора, в том числе 45 энергонасыщенных, 42 зерн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30 кормоуборочных комбайнов, 66 косилок различных модификаций, 54 сеялки и 386 единиц прочей сельскохозяйственной техники и оборудования.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2C" w:rsidRPr="0079459F" w:rsidRDefault="0035362C" w:rsidP="001C1C41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362C" w:rsidRPr="0079459F" w:rsidRDefault="0035362C" w:rsidP="0035362C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>Здравоохранение</w:t>
      </w:r>
    </w:p>
    <w:p w:rsidR="0035362C" w:rsidRPr="0079459F" w:rsidRDefault="0035362C" w:rsidP="0035362C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выполнены масштабные работы по строительству, модернизации, реконструкции и ремонту объектов здравоохранения.</w:t>
      </w:r>
    </w:p>
    <w:p w:rsidR="0035362C" w:rsidRPr="0079459F" w:rsidRDefault="0035362C" w:rsidP="0035362C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</w:t>
      </w:r>
      <w:proofErr w:type="gramStart"/>
      <w:r w:rsidRPr="0079459F">
        <w:rPr>
          <w:rFonts w:ascii="Times New Roman" w:hAnsi="Times New Roman"/>
          <w:sz w:val="28"/>
          <w:szCs w:val="28"/>
        </w:rPr>
        <w:t>г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. Могилеве. </w:t>
      </w:r>
      <w:proofErr w:type="gramStart"/>
      <w:r w:rsidRPr="0079459F">
        <w:rPr>
          <w:rFonts w:ascii="Times New Roman" w:hAnsi="Times New Roman"/>
          <w:sz w:val="28"/>
          <w:szCs w:val="28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>В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459F">
        <w:rPr>
          <w:rFonts w:ascii="Times New Roman" w:hAnsi="Times New Roman"/>
          <w:sz w:val="28"/>
          <w:szCs w:val="28"/>
        </w:rPr>
        <w:t>УЗ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В этом году открыт блок краткосрочного пребывания, оснащенный самым современным оборудованием и отделение пластической эстетической хирургии. Завершается реконструкция родильного дома больницы, который планируется открыть к 7 ноября. 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Могилевской городской больнице № 1 завершена реконструкция терапевтического и неврологического отделений, модернизировано рентгенотделение с установкой компьютерного томографа, открыт кабинет хронической боли.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В планах – строительство кардиохирургического корпуса в Могилевской областной больнице.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Образование</w:t>
      </w:r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 укрепляется материально-техническая база и учреждений образования. </w:t>
      </w:r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 области построено три школы по 1020 мест в микрорайоне «Комсомольский»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Кричева, в микрорайоне «Западный» </w:t>
      </w:r>
    </w:p>
    <w:p w:rsidR="0035362C" w:rsidRPr="0079459F" w:rsidRDefault="0035362C" w:rsidP="0035362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г. Бобруйска и микрорайоне «Казимировка» г. Могилева, детский сад на 240 мест в микрорайоне «Казимировка» г. Могилева.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Введено в эксплуатацию четыре жилых дома для семей, воспитывающих детей-сирот и детей, оставшихся без попечения родителей (в 2019 году будет построено еще два дома в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. Бобруйске и Осиповичском районе).</w:t>
      </w:r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Также в 2019 году планируется ввод в эксплуатацию детского сада на 40 мест в агрогородке Добрейка Шкловского района, завершение реконструкции со строительством пристройки на 50 мест к детскому саду в агрогородке Восход Могилевского района.</w:t>
      </w:r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2017 году выполнен капитальный ремонт на 3 объектах                 (СШ № 3 г. Климовичи, СШ № 2 г. Круглое – капремонт кровель), Межисетская СШ Могилевского района – замена оконных блоков) на общую сумму 877 357,40 рублей в эквиваленте 459 253,74 долларов США.</w:t>
      </w:r>
      <w:proofErr w:type="gramEnd"/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2019 году выполнены строительно-монтажные работы на 2 объектах (Муринборский УПК Д/сад-СШ Костюковичского района, гимназия г.п.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Глуска).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Завершаются работы на 3 объектах (Буйничская СШ, СШ № 4 г. Костюковичи, СШ № 2 г. Черикова).</w:t>
      </w:r>
    </w:p>
    <w:p w:rsidR="0035362C" w:rsidRPr="0079459F" w:rsidRDefault="0035362C" w:rsidP="0035362C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Всё это делается для того, чтобы юное поколение могло расти и развиваться в комфортных и безопасных условиях, получать знания, соответствующие современным требованиям.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Культура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Деятельность структурных подразделений исполнительных комитетов, осуществляющих государственно-властные полномочия в сфере культуры, и организаций культуры была направлена на развитие и эффективное использование культурного потенциала Могилевщины, повышение эффективности государственной политики в сфере культуры, выполнение поручений Президента Республики Беларусь, Совета Министров Республики Беларусь.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Период 2016 - 2019 гг. отмечен рядом ярких событий, проведенных во всех районах области.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Среди них, такие творческие проекты, как международные молодежный театральный форумы «M@rt.контакт» и «Традиционная культура, как стратегический ресурс устойчивого развития общества», фестивали анимационных фильмов «Анимаевка», народного творчества «Венок дружбы», духовной музыки «Магутны Божа», детского творчества «Золотая пчелка»,  республиканские фестиваль национальной драматургии им.В.И.Дунина-Марцинкевича и праздник «Купалье» («Александрия собирает друзей»), </w:t>
      </w:r>
      <w:r w:rsidRPr="0079459F">
        <w:rPr>
          <w:rFonts w:ascii="Times New Roman" w:hAnsi="Times New Roman"/>
          <w:sz w:val="28"/>
          <w:szCs w:val="28"/>
        </w:rPr>
        <w:lastRenderedPageBreak/>
        <w:t>межрегиональные этнопраздник «У гос</w:t>
      </w:r>
      <w:r w:rsidRPr="0079459F">
        <w:rPr>
          <w:rFonts w:ascii="Times New Roman" w:hAnsi="Times New Roman"/>
          <w:sz w:val="28"/>
          <w:szCs w:val="28"/>
          <w:lang w:val="be-BY"/>
        </w:rPr>
        <w:t>ці</w:t>
      </w:r>
      <w:r w:rsidRPr="0079459F">
        <w:rPr>
          <w:rFonts w:ascii="Times New Roman" w:hAnsi="Times New Roman"/>
          <w:sz w:val="28"/>
          <w:szCs w:val="28"/>
        </w:rPr>
        <w:t xml:space="preserve"> да</w:t>
      </w:r>
      <w:r w:rsidRPr="0079459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>радз</w:t>
      </w:r>
      <w:r w:rsidRPr="0079459F">
        <w:rPr>
          <w:rFonts w:ascii="Times New Roman" w:hAnsi="Times New Roman"/>
          <w:sz w:val="28"/>
          <w:szCs w:val="28"/>
          <w:lang w:val="be-BY"/>
        </w:rPr>
        <w:t>і</w:t>
      </w:r>
      <w:proofErr w:type="gramStart"/>
      <w:r w:rsidRPr="0079459F">
        <w:rPr>
          <w:rFonts w:ascii="Times New Roman" w:hAnsi="Times New Roman"/>
          <w:sz w:val="28"/>
          <w:szCs w:val="28"/>
          <w:lang w:val="be-BY"/>
        </w:rPr>
        <w:t>мі</w:t>
      </w:r>
      <w:r w:rsidRPr="0079459F">
        <w:rPr>
          <w:rFonts w:ascii="Times New Roman" w:hAnsi="Times New Roman"/>
          <w:sz w:val="28"/>
          <w:szCs w:val="28"/>
        </w:rPr>
        <w:t>ча</w:t>
      </w:r>
      <w:proofErr w:type="gramEnd"/>
      <w:r w:rsidRPr="0079459F">
        <w:rPr>
          <w:rFonts w:ascii="Times New Roman" w:hAnsi="Times New Roman"/>
          <w:sz w:val="28"/>
          <w:szCs w:val="28"/>
          <w:lang w:val="be-BY"/>
        </w:rPr>
        <w:t>ў</w:t>
      </w:r>
      <w:r w:rsidRPr="0079459F">
        <w:rPr>
          <w:rFonts w:ascii="Times New Roman" w:hAnsi="Times New Roman"/>
          <w:sz w:val="28"/>
          <w:szCs w:val="28"/>
        </w:rPr>
        <w:t>», фестиваль любительских театров «Тэатральныя вечарыны», праздник - конкурс «Зялёныя Святкі», праздник «</w:t>
      </w:r>
      <w:proofErr w:type="gramStart"/>
      <w:r w:rsidRPr="0079459F">
        <w:rPr>
          <w:rFonts w:ascii="Times New Roman" w:hAnsi="Times New Roman"/>
          <w:sz w:val="28"/>
          <w:szCs w:val="28"/>
        </w:rPr>
        <w:t>Свята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Ляль</w:t>
      </w:r>
      <w:r w:rsidRPr="0079459F">
        <w:rPr>
          <w:rFonts w:ascii="Times New Roman" w:hAnsi="Times New Roman"/>
          <w:sz w:val="28"/>
          <w:szCs w:val="28"/>
          <w:lang w:val="be-BY"/>
        </w:rPr>
        <w:t>кі</w:t>
      </w:r>
      <w:r w:rsidRPr="0079459F">
        <w:rPr>
          <w:rFonts w:ascii="Times New Roman" w:hAnsi="Times New Roman"/>
          <w:sz w:val="28"/>
          <w:szCs w:val="28"/>
        </w:rPr>
        <w:t>», фестиваль народного творчества «Дрибинские Торжки», праздник средневековой культуры «Рыцарский фэст», фестиваль народного творчества и ремесел «Глушанский хуторок», фестиваль «Маковей», праздник «День огурца», фестиваль любительского театрального искусства «Свет рампы» и другие.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Старейший в Беларуси Могилевский областной краеведческий музей им.Е.Р.Романова отметил свое 150-летие (2017 год), а Могилевский областной драматический театр - 130-летие (2018 год).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Достижения организаций культуры признаны на </w:t>
      </w:r>
      <w:proofErr w:type="gramStart"/>
      <w:r w:rsidRPr="0079459F">
        <w:rPr>
          <w:rFonts w:ascii="Times New Roman" w:hAnsi="Times New Roman"/>
          <w:sz w:val="28"/>
          <w:szCs w:val="28"/>
        </w:rPr>
        <w:t>республиканском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уровнях: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специальным фондом Президента Республики Беларусь по поддержке талантливой молодежи присуждено 113 поощрений представителям Могилевской области;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работы за 2016 год на Республиканскую доску Почета занесено учреждение культуры «Могилевский областной методический центр народного творчества и культурно-просветительной работы», за 2017 год - учреждение культуры «Могилевский областной драматический театр»;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в 2017 году почетное звание «Залуженный коллектив Республики Беларусь» получил оркестр народных инструментов им.Л.Л.Иванова, «Заслуженный артист Республики Беларусь» - ведущий мастер сцены Н.Стешиц;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республиканского соревнования на лучшую организацию работы организаций культуры по концертному и театральному обслуживанию сельского населения за 2017 и 2018 годы Могилевская область была признана победителем в номинации «Лучшая область по организации концертного и театрального обслуживания сельского населения»;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результатам республиканского конкурса «Город культуры» лучшим городом областного подчинения за 2017 год стал г</w:t>
      </w:r>
      <w:proofErr w:type="gramStart"/>
      <w:r w:rsidRPr="0079459F">
        <w:rPr>
          <w:rFonts w:ascii="Times New Roman" w:hAnsi="Times New Roman"/>
          <w:sz w:val="28"/>
          <w:szCs w:val="28"/>
        </w:rPr>
        <w:t>.Б</w:t>
      </w:r>
      <w:proofErr w:type="gramEnd"/>
      <w:r w:rsidRPr="0079459F">
        <w:rPr>
          <w:rFonts w:ascii="Times New Roman" w:hAnsi="Times New Roman"/>
          <w:sz w:val="28"/>
          <w:szCs w:val="28"/>
        </w:rPr>
        <w:t>обруйск.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Проведена значительная работа по укреплению материально- технической базы организаций сферы культуры.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завершен капитальный ремонт здания Дворца культуры области в г. Могилеве, на ремонт объекта направлено свыше 26,9 млн</w:t>
      </w:r>
      <w:proofErr w:type="gramStart"/>
      <w:r w:rsidRPr="0079459F">
        <w:rPr>
          <w:rFonts w:ascii="Times New Roman" w:hAnsi="Times New Roman"/>
          <w:sz w:val="28"/>
          <w:szCs w:val="28"/>
        </w:rPr>
        <w:t>.р</w:t>
      </w:r>
      <w:proofErr w:type="gramEnd"/>
      <w:r w:rsidRPr="0079459F">
        <w:rPr>
          <w:rFonts w:ascii="Times New Roman" w:hAnsi="Times New Roman"/>
          <w:sz w:val="28"/>
          <w:szCs w:val="28"/>
        </w:rPr>
        <w:t>ублей, что позволило с честью провести пленарное заседание V Форума регионов Беларуси и России. Сегодня Дворец культуры области - это уникальный центр искусства в Могилевской области, оснащенный самым современным оборудованием, для досуга населения в коллективах художественного творчества и клубных формированиях, который оказывает услуги культурного, просветительского характера, а также реализует программы патриотического, духовно-нравственного воспитания подрастающего поколения.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реконструированы и построены также Дома культуры в Кличеве, Черикове, Чаусах.</w:t>
      </w:r>
    </w:p>
    <w:p w:rsidR="0035362C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>Спорт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Могилевская область вносит весомый вклад в развитие олимпийского движения. В 2016 году на летних Олимпийских играх 2016 года в Рио-де-Жанейро в восьмерку сильнейших вошли 4 спортсмена, в том числе завоевано 2 серебряные медали - Вадим Стрельцов и Дарья Наумова (тяжелая атлетика). 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2017 году чемпионами мира и призерами стали  7 спортсменов области.  В 2018 году – 3. На зимних Олимпийских играх в Пхенчхане победителем стала Динара Алимбекова (биатлон). Юрий Голуб завоевал одну золотую, две серебряных и одну бронзовую медали на Паралимпиаде (инваспорт - биатлон, лыжные гонки).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2019 году на II Европейских играх спортсменами Могилевщины завоевано 10  медалей (на I  Европейских играх - 6). 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 (в олимпийский цикл 9-12 годов- 346 медалей), за олимпийский цикл 2017-2020 годов в настоящее время завоевано 466 медалей (в 2016 году - 110 медалей, в 2017 -128 медалей (наилучший показатель за последние 15 лег), в 2018 году -126 медалей, за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459F">
        <w:rPr>
          <w:rFonts w:ascii="Times New Roman" w:hAnsi="Times New Roman"/>
          <w:sz w:val="28"/>
          <w:szCs w:val="28"/>
        </w:rPr>
        <w:t>9 месяцев 2018 года - 102 медали).</w:t>
      </w:r>
      <w:proofErr w:type="gramEnd"/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2016-2019 годах велась работа по совершенствованию материальной базы физкультурно-спортивной отрасли области.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 году завершена реконструкция спортивного комплекса в г</w:t>
      </w:r>
      <w:proofErr w:type="gramStart"/>
      <w:r w:rsidRPr="0079459F">
        <w:rPr>
          <w:rFonts w:ascii="Times New Roman" w:hAnsi="Times New Roman"/>
          <w:sz w:val="28"/>
          <w:szCs w:val="28"/>
        </w:rPr>
        <w:t>.Б</w:t>
      </w:r>
      <w:proofErr w:type="gramEnd"/>
      <w:r w:rsidRPr="0079459F">
        <w:rPr>
          <w:rFonts w:ascii="Times New Roman" w:hAnsi="Times New Roman"/>
          <w:sz w:val="28"/>
          <w:szCs w:val="28"/>
        </w:rPr>
        <w:t>ыхове (спортзал), введена в строй ледовая арена в г.Шклове и физкультурно-спортивный комплекс в г.пДраснополье.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2017 году введен в строй физкультурно-спортивный комплекс в г</w:t>
      </w:r>
      <w:proofErr w:type="gramStart"/>
      <w:r w:rsidRPr="0079459F">
        <w:rPr>
          <w:rFonts w:ascii="Times New Roman" w:hAnsi="Times New Roman"/>
          <w:sz w:val="28"/>
          <w:szCs w:val="28"/>
        </w:rPr>
        <w:t>.К</w:t>
      </w:r>
      <w:proofErr w:type="gramEnd"/>
      <w:r w:rsidRPr="0079459F">
        <w:rPr>
          <w:rFonts w:ascii="Times New Roman" w:hAnsi="Times New Roman"/>
          <w:sz w:val="28"/>
          <w:szCs w:val="28"/>
        </w:rPr>
        <w:t>остюковичи. Завершена реконструкция бассейна в г</w:t>
      </w:r>
      <w:proofErr w:type="gramStart"/>
      <w:r w:rsidRPr="0079459F">
        <w:rPr>
          <w:rFonts w:ascii="Times New Roman" w:hAnsi="Times New Roman"/>
          <w:sz w:val="28"/>
          <w:szCs w:val="28"/>
        </w:rPr>
        <w:t>.Г</w:t>
      </w:r>
      <w:proofErr w:type="gramEnd"/>
      <w:r w:rsidRPr="0079459F">
        <w:rPr>
          <w:rFonts w:ascii="Times New Roman" w:hAnsi="Times New Roman"/>
          <w:sz w:val="28"/>
          <w:szCs w:val="28"/>
        </w:rPr>
        <w:t>луске. Введен в эксплуатацию бассейн, тренажерный и 2 спортивных зала в средней школе г</w:t>
      </w:r>
      <w:proofErr w:type="gramStart"/>
      <w:r w:rsidRPr="0079459F">
        <w:rPr>
          <w:rFonts w:ascii="Times New Roman" w:hAnsi="Times New Roman"/>
          <w:sz w:val="28"/>
          <w:szCs w:val="28"/>
        </w:rPr>
        <w:t>.К</w:t>
      </w:r>
      <w:proofErr w:type="gramEnd"/>
      <w:r w:rsidRPr="0079459F">
        <w:rPr>
          <w:rFonts w:ascii="Times New Roman" w:hAnsi="Times New Roman"/>
          <w:sz w:val="28"/>
          <w:szCs w:val="28"/>
        </w:rPr>
        <w:t>ричева.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введен в эксплуатацию физкультурно-оздоровительный центр «Жемчужина» в г</w:t>
      </w:r>
      <w:proofErr w:type="gramStart"/>
      <w:r w:rsidRPr="0079459F">
        <w:rPr>
          <w:rFonts w:ascii="Times New Roman" w:hAnsi="Times New Roman"/>
          <w:sz w:val="28"/>
          <w:szCs w:val="28"/>
        </w:rPr>
        <w:t>.О</w:t>
      </w:r>
      <w:proofErr w:type="gramEnd"/>
      <w:r w:rsidRPr="0079459F">
        <w:rPr>
          <w:rFonts w:ascii="Times New Roman" w:hAnsi="Times New Roman"/>
          <w:sz w:val="28"/>
          <w:szCs w:val="28"/>
        </w:rPr>
        <w:t>сиповичи, бассейн, 2 тренажерных и 2 спортивных зала в средней школе г.Бобруйска.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 содействии белорусской федерации футбола введены в строй мини-футбольные площадки с искусственным покрытием в Белыничах, Краснополье, Осиповичах. Ведется строительство футбольного манежа в г</w:t>
      </w:r>
      <w:proofErr w:type="gramStart"/>
      <w:r w:rsidRPr="0079459F">
        <w:rPr>
          <w:rFonts w:ascii="Times New Roman" w:hAnsi="Times New Roman"/>
          <w:sz w:val="28"/>
          <w:szCs w:val="28"/>
        </w:rPr>
        <w:t>.М</w:t>
      </w:r>
      <w:proofErr w:type="gramEnd"/>
      <w:r w:rsidRPr="0079459F">
        <w:rPr>
          <w:rFonts w:ascii="Times New Roman" w:hAnsi="Times New Roman"/>
          <w:sz w:val="28"/>
          <w:szCs w:val="28"/>
        </w:rPr>
        <w:t>огилеве.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 по месту учебы, работы и жительства привлечено свыше 250 тысяч человек (23,7% населения области). Во всех районах области созданы и функционируют центры (клубы) по месту жительства, а также отраслевые клубы, физкультурно-спортивные клубы на предприятиях. Действуют областные отраслевые физкультурно-спортивные клубы.</w:t>
      </w:r>
    </w:p>
    <w:p w:rsidR="0035362C" w:rsidRPr="0079459F" w:rsidRDefault="0035362C" w:rsidP="0035362C">
      <w:pPr>
        <w:spacing w:after="0" w:line="240" w:lineRule="auto"/>
        <w:ind w:right="-284" w:firstLine="708"/>
        <w:jc w:val="center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***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Главным приоритетом нашей политики было и остается справедливое и внимательное отношение к людям, создание условий для роста благосостояния, комфортного проживания. </w:t>
      </w:r>
    </w:p>
    <w:p w:rsidR="0035362C" w:rsidRPr="0079459F" w:rsidRDefault="0035362C" w:rsidP="003536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 лучшее, что было создано в нашей стране, в Могилевской области за последнее время, теперь работает на человека – это и обновленные учреждения здравоохранения, способные выполнять самые сложные современные операции, образования, способствующие комфортному обучению и воспитанию подрастающего поколения, это и новые физкультурно-спортивные  и другие объекты социальной сферы.</w:t>
      </w: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35362C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главным управлением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идеологической</w:t>
      </w:r>
      <w:proofErr w:type="gramEnd"/>
    </w:p>
    <w:p w:rsidR="0035362C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работы и по делам молодежи облисполкома </w:t>
      </w:r>
    </w:p>
    <w:p w:rsidR="0035362C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структурных </w:t>
      </w:r>
    </w:p>
    <w:p w:rsidR="0035362C" w:rsidRPr="0079459F" w:rsidRDefault="0035362C" w:rsidP="0035362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подразделений облисполкома</w:t>
      </w: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62C" w:rsidRDefault="0035362C" w:rsidP="003536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lastRenderedPageBreak/>
        <w:t xml:space="preserve">АКТУАЛЬНОСТЬ СТРАХОВАНИЯ ИНДИВИДУАЛЬНЫХ ЖИЛЫХ ДОМОВ, ДАЧНЫХ ПОСТРОЕК </w:t>
      </w:r>
      <w:proofErr w:type="gramStart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В</w:t>
      </w:r>
      <w:proofErr w:type="gramEnd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</w:p>
    <w:p w:rsidR="0035362C" w:rsidRPr="00DB7878" w:rsidRDefault="0035362C" w:rsidP="003536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ОСЕННЕ-ЗИМНИЙ ПЕРИОД</w:t>
      </w:r>
    </w:p>
    <w:p w:rsidR="0035362C" w:rsidRPr="00DB7878" w:rsidRDefault="0035362C" w:rsidP="00353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Наступление осенне-зимнего периода для владельцев индивидуальных жилых домов предполагает активную эксплуатацию печного или иного отопительного оборудования, увеличение нагрузки на электропроводку, для владельцев дачных построек – длительную «консервацию» дачи до следующего года.</w:t>
      </w:r>
    </w:p>
    <w:p w:rsidR="0035362C" w:rsidRPr="00DB7878" w:rsidRDefault="0035362C" w:rsidP="00353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в этот период возрастают риски пожара, взрыва, коротких замыканий с выходом из строя бытовой техники, неправомерных действий третьих лиц. Подобные бедствия возникают неожиданно и наносят ущерб собственному бюджету, который подчас трудно восполнить.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результате </w:t>
      </w:r>
      <w:r w:rsidRPr="00DB787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неосторожного обращения с огнем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г</w:t>
      </w:r>
      <w:proofErr w:type="gram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.К</w:t>
      </w:r>
      <w:proofErr w:type="gram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ировске Могилевской области полностью уничтожен один из жилых домов. Произведена выплата страхового возмещения за строения, домашнее имущество более 12600 рублей. </w:t>
      </w:r>
    </w:p>
    <w:p w:rsidR="0035362C" w:rsidRPr="00DB7878" w:rsidRDefault="0035362C" w:rsidP="00353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Кроме различных несчастных случаев, виновными в которых чаще всего бывает сам человек, ежегодно в нашей стране отмечаются и различные стихийные бедствия. Они не зависят от воли человека и причиняют серьезный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людям, так и их имуществу. Весной и летом 2018 года по всей республике прошли грозы с сильным ветром и ливневыми дождями. 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Представительствами Белгосстраха только по Могилевской области выплачено 241969  рублей по 904 заявлениям страхователей.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стал исключением и нынешний год, он уже принес немало проблем жителям нашей страны. Самым «ярким» впечатлением лета стало </w:t>
      </w:r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>25 июля, когда в Мядельском районе Минской области прошел невиданный град и под ледяной крошкой оказались сады, огороды, в домах повыбивало окна, ветер сорвал с кровли шифер, стихия ломала теплицы.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Могилевская область в текущем году пострадала уже трижды: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март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результате сильного ветра повреждены кровли жилых домов;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и июль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сильные дожди, грозы. Во время грозы в деревне в дом ударила молния. Ущерб от пожара составил более 18000 рублей. Строения были застрахованы в обязательном порядке, выплата составила только 9000 рублей – половину от суммы ущерба. 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стихийных бедствий 2019 года повреждено имущество 572 страхователей, которым выплачено порядка 94 000 рублей.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владельцы индивидуальных жилых домов имеют возможность застраховать свое жилье в обязательном и добровольном порядке.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Главное отличие обязательного страхования от добровольного –  это то, что в обязательном порядке на страхование принимается только жилой дом и примыкающие к нему постройки.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Страховая сумма по обязательному страхованию строений составляет лишь 50 процентов от их стоимости.  Это значит, что при наступлении страхового случая ущерб будет возмещен только наполовину. Отдельно стоящие хозяйственные постройки (сараи,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бани, гаражи, заборы, беседки) обязательному страхованию не подлежат и могут быть застрахованы только в добровольном порядке.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случаев, в частности, на ремонт печей, замену электропроводки.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2018 году Белгосстрахом из данного фонда выделено 33 739 рублей, в 2019 году – 8 377 рублей. При этом отремонтированы печи и электропроводка в домах 48 страхователей.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 особой группе риска относятся садовые и дачные дома, особенно в осенне-зимний период. В это время, когда «дачники» перебираются в город и оставляют строения и имущество без присмотра на длительный период, возрастает активность злоумышленников, увеличивается количество краж, взломов, хулиганских действий.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начала 2019 года в представительства Белгосстраха по Могилевской области за выплатой страхового возмещения в результате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кражи имущества и повреждения при этом строений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обратилось 125 страхователей, из них 15 – владельцы дач,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пожары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произошли в домовладениях 202 страхователей, из них 28 –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дачных. 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Как действовать застрахованному лицу при наступлении того или иного события?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какого-либо события страхователь                                (выгодоприобретатель, ответственное лицо, уполномоченное лицо)  должен незамедлительно заявить в соответствующие компетентные органы (аварийную службу, жилищно-эксплуатационную организацию, государственную пожарную службу, внутренних дел и т.п.) и в течение 3-х рабочих дней сообщить в страховую компанию или ее представителю о причиненном ущербе, а также сохранить до составления акта осмотра  специалистом страховой компании поврежденное имущество в том виде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оказалось после происшедшего события.   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Страхование – наиболее универсальный способ защиты имущества, т.к. оно оперирует деньгами. А деньги – известный эквивалент всему. Уплачивая взнос, сопоставимый небольшому проценту от стоимости застрахованного имущества, страхователь получает 100% возмещение ущерба при наступлении целого ряда непредвиденных событий, вызванных стихийными бедствиями, несчастными случаями, противоправными действиями третьих лиц.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необходимую информацию можно получить в Белгосстрахе по круглосуточному телефону (0222) 500-500, или обратившись в его ближайшее представительство.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2C" w:rsidRPr="00DB7878" w:rsidRDefault="0035362C" w:rsidP="0035362C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Филиал Белгосстраха по Могилевской области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62C" w:rsidRDefault="0035362C" w:rsidP="003536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БЕЗОПАСНОЕ ТЕПЛО</w:t>
      </w:r>
    </w:p>
    <w:p w:rsidR="0035362C" w:rsidRPr="00DB7878" w:rsidRDefault="0035362C" w:rsidP="003536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За 9 месяцев текущего года в Могилевской области произошло   604 пожара, погибло 48человек. Т</w:t>
      </w:r>
      <w:r w:rsidRPr="00DB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равмировано48 человек, в том числе 4 ребенка.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161 строение, 37 голов скота,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21 единица техники. </w:t>
      </w:r>
    </w:p>
    <w:p w:rsidR="0035362C" w:rsidRPr="00DB7878" w:rsidRDefault="0035362C" w:rsidP="0035362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  возгораний стали:</w:t>
      </w:r>
    </w:p>
    <w:p w:rsidR="0035362C" w:rsidRPr="00DB7878" w:rsidRDefault="0035362C" w:rsidP="003536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–263пожара;</w:t>
      </w:r>
    </w:p>
    <w:p w:rsidR="0035362C" w:rsidRPr="00DB7878" w:rsidRDefault="0035362C" w:rsidP="003536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отопительного оборудования  и теплогенерирующих установок–115;</w:t>
      </w:r>
    </w:p>
    <w:p w:rsidR="0035362C" w:rsidRPr="00DB7878" w:rsidRDefault="0035362C" w:rsidP="003536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93;</w:t>
      </w:r>
    </w:p>
    <w:p w:rsidR="0035362C" w:rsidRPr="00DB7878" w:rsidRDefault="0035362C" w:rsidP="003536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9 пожаров.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Ежегодно с наступлением осенне-зимнего периода, существенно возрастает количество пожаров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,  происходящих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нарушения правил пожарной безопасности при устройстве и эксплуатации печного отопления.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Жителям частного сектора за время, что осталось до наступления морозов, нужно успеть провести «ревизию» готовности жилья к зиме: почистить дымоходы, заделать трещины в печах, чтобы было тепло, а главное безопасно. Изучим основные постулаты печной безопасности:</w:t>
      </w:r>
    </w:p>
    <w:p w:rsidR="0035362C" w:rsidRPr="00DB7878" w:rsidRDefault="0035362C" w:rsidP="0035362C">
      <w:pPr>
        <w:tabs>
          <w:tab w:val="left" w:pos="77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Прочистите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Побелите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и побелены. Трещины в дымоходе -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:rsidR="0035362C" w:rsidRPr="00DB7878" w:rsidRDefault="0035362C" w:rsidP="00353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Прибейте перед топкой к полу металлический лист размерами не менее 50х70 см.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Подойдет цементная или плиточная основа. И даже несмотря на их наличие,  не оставляйте открытыми топочные дверцы.  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Не перекаливайте печь.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сильных морозах, печь безопаснее протапливать дважды в сутки, с некоторым интервалом. Запрещается сушить и складировать на печах и на расстоянии менее 1,25 м. от топочных отверстий топливо, одежду и другие горючие вещества и материалы. Не применяйте для розжига бензин, керосин или другие легковоспламеняющиеся жидкости. Не топите дровами, длина которых превышает размеры топки.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Не оставляйте без присмотра топящиеся печи и не поручайте надзор за ними детям.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 Горячую 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DB7878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строений, предварительно затушив водой, песком или снегом.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Минимум за 2 часа до сна прекращайте топку печи.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закрывайте заслонку дымохода печи, пока угли полностью не прогорят. Помните: от угарного газа можно получить смертельное отравление и не проснуться.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Сразу три нарушения правил эксплуатации печного отопления допустила 61-летняя пенсионерка и в результате  лишилась здоровья и жилья. Так, 1 октября утром жительница деревни Кончаны Бобруйского района затопила печь, а сама ушла заниматься домашними делами на улицу. Дверца печи осталась открытой и огонь, оставленный без присмотра, беспрепятственно попал на строительные материалы, хранящиеся около печи. По возвращению в дом,  пенсионерка открыла дверь и в лицо ей ударила огненная волна, травмировавшая лицо и руки. С ожогами 15 % тела хозяйка госпитализирована. Не пощадил огонь и жилье: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уничтожена кровля, повреждено перекрытие, стены и имущество в доме.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статистике больше всего под удар "печных" пожаров попадают пенсионеры. Если Ваши престарелые родители или родственники живут в частном секторе и нуждаются в помощи - съездите к  ним, установите автономные пожарные извещатели в жилых комнатах, проверьте исправность проводки и печи, помогите с ремонтом!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Осторожности и соблюдения правил безопасности требует еще один источник тепла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бытовые котлы.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Неграмотная эксплуатация котельного оборудования может повлечь разрушение не только котла, но даже и здания. </w:t>
      </w:r>
    </w:p>
    <w:p w:rsidR="0035362C" w:rsidRPr="00DB7878" w:rsidRDefault="0035362C" w:rsidP="003536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Поврежденный котел, внутренняя перегородка между помещениями топочной и ванной комнаты,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остекление оконного проема в ванной комнате, частично кровля: таковы последствия разрыва отопительного котла в д. Дудары Лидского района Гродненской области, произошедшего 8 октября утром. В момент происшествия в доме находилась жена хозяина, его взрослая дочь и внучка. К счастью, никто не пострадал. Предполагаемая причина разрыва котла – отсутствие циркуляции теплоносителя в системе. 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Одна из причин взрывов бытовых котлов - замерзание систем отопления (расширительных баков) с прекращением циркуляции воды. Особенно это характерно для начала отопительного сезона или в период оттепели, когда в дневное время наблюдается плюсовая температура, а ночью  столбик  термометра  опускается ниже  нулевой  отметки,  что  приводит  к  замерзанию  трубопроводов  и  расширительных  баков  с прекращением  циркуляции  воды.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До начала отопительного периода рекомендуется: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чистить  поверхности  внутри  котла  и дымоходы  от  сажи.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Выполнить  при  необходимости  их  ремонт;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ровести   ревизию   или  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заменить на исправную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запорную  и  предохранительную арматуру;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ромыть систему отопления  и  заполнить  её  водой;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бедиться  в   герметичности   котла   и системы  отопления;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еплоизолировать   находящиеся на чердаке и в неотапливаемых помещениях    трубопроводы  и  расширительный  бак.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предотвращения взрывов котлов рекомендуется: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лить конденсат из нижнего кармана дымовой трубы для котлов, работающих с естественной тягой.</w:t>
      </w:r>
    </w:p>
    <w:p w:rsidR="0035362C" w:rsidRPr="00DB7878" w:rsidRDefault="0035362C" w:rsidP="0035362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ровести осмотр оголовков дымоходов и убедится в отсутствии их обмерзания и закупорки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362C" w:rsidRPr="00DB7878" w:rsidRDefault="0035362C" w:rsidP="003536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 из  контрольной  линии  заполнения  расширительного  бака  не  пошла  вода,   а  давление воды  в  котле  растет  и достигает  давления  в водопроводной  сети, это  свидетельствует  о замерзании  системы  отопления. В  этом случае  котел  разжигать   категорически запрещено! 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 все время контролируя, давление на котле по манометру. Если давление на котле начинает приближаться 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 допустимому по паспорту котла, необходимо срочно прекратить топить котел и удалить из него все топливо. В этом случае система отопления не отогрета.</w:t>
      </w:r>
    </w:p>
    <w:p w:rsidR="0035362C" w:rsidRPr="00DB7878" w:rsidRDefault="0035362C" w:rsidP="003536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eastAsia="Times New Roman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Запрещается: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спользовать самодельные котлы, не оборудованные автоматикой безопасности и контрольно-измерительными приборами;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ранить рядом с котлом горючие, смазочные и другие горючие материалы.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Все эти меры позволяет в значительной степени снизить риски при эксплуатации бытовых водогрейных котлов и сохранить жизнь и здоровье людей.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усиленном режиме в осенне-зимний период работают и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электроприборы.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Неисправная электропроводка, телевизоры в «режиме ожидания», оставленные в сети зарядные устройства, использование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 избежание ЧС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ля исключения возгорания электрооборудования из-за скачков и перепадов напряжения пользуйтесь сетевыми фильтрами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и в коем случае не пользуйтесь самодельными удлинителями, электронагревательными приборами и электроинструментом.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дна из главных «заповедей» безопасности – не оставляйте включенные электроприборы без присмотра.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работающими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 Неосторожное обращение с огнем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 самая распространенная причина возгораний и гибели людей на пожарах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Горько осознавать, что, как правило, происходят данные трагедии из-за выпивающих  курильщиков. Сегодня эта вредная привычка приобрела новое содержание – курение под градусом все чаще убивает не постепенно, а мгновенно.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Неосторожность при  курении такова предварительная причина пожара частного жилого дома в агрогородке Бель Кричевского района. В службу МЧС 25 сентября около 8 часов утра позвонили сосед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горел открытым пламенем. Помочь  52-летнему хозяину уже было невозможн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без признаков жизни обнаружили на полу. В результате пожара уничтожена кровля, перекрытие, имущество в доме. </w:t>
      </w:r>
    </w:p>
    <w:p w:rsidR="0035362C" w:rsidRPr="00DB7878" w:rsidRDefault="0035362C" w:rsidP="003536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Нередко ошибка одного человека влечет за собой гибель других. 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Двойная гибель - таковы трагические итоги первого дня октября. В 2 часа ночи в службу МЧС поступило сообщение о пожаре в двухкомнатной квартире на пятом этаже пятиэтажного жилого дома по пр-ту Мира в Могилеве.  Открытым пламенем горела одна из комнат. На полу в коридореспасателями в бессознательном состоянии был обнаружен  и эвакуирован 56-летний сын хозяйки. Реанимационные действия оказались бессильны - мужчина погиб. Не пощадила стихия и его 76-летнюю мать - ее обнаружили на кровати в комнате. Погибшая являлась инвалидом 1 группы и не могла передвигаться самостоятельно. В результате пожара уничтожено имущество в комнате, закопчены стены и потолок в квартире.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Предположительно пожар начался из-за неосторожного обращения с огнем при курении сына хозяйки.</w:t>
      </w:r>
    </w:p>
    <w:p w:rsidR="0035362C" w:rsidRPr="00DB7878" w:rsidRDefault="0035362C" w:rsidP="00353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безопасности населения, активизации пожарно-профилактической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работы, анализа ее эффективности и оценки готовности территорий к осенне-зимнему пожароопасному периоду Министерством по чрезвычайным ситуациям в период с 16 октября по 1 ноября 2019 года организовано проведение республиканской пожарно-профилактической акции по предупреждению пожаров и гибели людей от них в жилищном фонде «За безопасность вместе».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Главные задачи мероприятия: информирование населения о состоянии пожарной безопасности, разъяснение гражданам последствий несоблюдения правил пожарной безопасности;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территории; разъяснение гражданам последствия злоупотребления спиртными напитками. 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период проведения акции каждый гражданин может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обратится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территориальный орган по чрезвычайным ситуациям для проведения обследования противопожарного состояния жилища. </w:t>
      </w:r>
    </w:p>
    <w:p w:rsidR="0035362C" w:rsidRPr="00DB7878" w:rsidRDefault="0035362C" w:rsidP="00353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DB7878">
        <w:rPr>
          <w:rFonts w:ascii="Times New Roman" w:eastAsia="Times New Roman" w:hAnsi="Times New Roman"/>
          <w:sz w:val="28"/>
          <w:szCs w:val="28"/>
        </w:rPr>
        <w:t>Приглашаем принять участие в акции всех граждан!</w:t>
      </w:r>
    </w:p>
    <w:p w:rsidR="0035362C" w:rsidRDefault="0035362C" w:rsidP="00353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что в соответствии с законодательством Республики Беларусь ответственность за соблюдение </w:t>
      </w:r>
      <w:r w:rsidRPr="00DB7878">
        <w:rPr>
          <w:rFonts w:ascii="Times New Roman" w:eastAsia="Times New Roman" w:hAnsi="Times New Roman"/>
          <w:sz w:val="28"/>
          <w:szCs w:val="28"/>
          <w:lang w:eastAsia="ar-SA"/>
        </w:rPr>
        <w:t>требований пожарной безопасности в жилых домах, принадлежащих гражданам на праве частной собственности, возложена на их собственников.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362C" w:rsidRDefault="0035362C" w:rsidP="00353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2C" w:rsidRDefault="0035362C" w:rsidP="003536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362C" w:rsidRDefault="0035362C" w:rsidP="003536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Могилевское областное УМЧС</w:t>
      </w:r>
    </w:p>
    <w:p w:rsidR="0035362C" w:rsidRDefault="0035362C" w:rsidP="003536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362C" w:rsidRDefault="0035362C" w:rsidP="003536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362C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362C" w:rsidRPr="00982E00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35362C" w:rsidRPr="00982E00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/>
          <w:b/>
          <w:sz w:val="30"/>
          <w:szCs w:val="30"/>
          <w:lang w:eastAsia="ru-RU"/>
        </w:rPr>
      </w:pPr>
      <w:r w:rsidRPr="00982E00">
        <w:rPr>
          <w:rFonts w:ascii="Times New Roman" w:eastAsia="SimSun" w:hAnsi="Times New Roman"/>
          <w:b/>
          <w:sz w:val="30"/>
          <w:szCs w:val="30"/>
          <w:lang w:eastAsia="ru-RU"/>
        </w:rPr>
        <w:lastRenderedPageBreak/>
        <w:t>ГРАФИК</w:t>
      </w:r>
    </w:p>
    <w:p w:rsidR="0035362C" w:rsidRPr="00982E00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exact"/>
        <w:jc w:val="center"/>
        <w:rPr>
          <w:rFonts w:ascii="Times New Roman" w:eastAsia="SimSun" w:hAnsi="Times New Roman"/>
          <w:sz w:val="30"/>
          <w:szCs w:val="30"/>
          <w:lang w:eastAsia="ru-RU"/>
        </w:rPr>
      </w:pPr>
      <w:r w:rsidRPr="00982E00">
        <w:rPr>
          <w:rFonts w:ascii="Times New Roman" w:eastAsia="SimSun" w:hAnsi="Times New Roman"/>
          <w:sz w:val="30"/>
          <w:szCs w:val="30"/>
          <w:lang w:eastAsia="ru-RU"/>
        </w:rPr>
        <w:t xml:space="preserve">встреч членов информационно-пропагандистских групп облисполкома </w:t>
      </w:r>
    </w:p>
    <w:p w:rsidR="0035362C" w:rsidRPr="00982E00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exact"/>
        <w:jc w:val="center"/>
        <w:rPr>
          <w:rFonts w:ascii="Times New Roman" w:eastAsia="SimSun" w:hAnsi="Times New Roman"/>
          <w:sz w:val="30"/>
          <w:szCs w:val="30"/>
          <w:lang w:eastAsia="ru-RU"/>
        </w:rPr>
      </w:pPr>
      <w:r w:rsidRPr="00982E00">
        <w:rPr>
          <w:rFonts w:ascii="Times New Roman" w:eastAsia="SimSun" w:hAnsi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35362C" w:rsidRPr="00982E00" w:rsidRDefault="0035362C" w:rsidP="003536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exac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82E00">
        <w:rPr>
          <w:rFonts w:ascii="Times New Roman" w:eastAsia="SimSun" w:hAnsi="Times New Roman"/>
          <w:b/>
          <w:sz w:val="30"/>
          <w:szCs w:val="30"/>
          <w:lang w:eastAsia="ru-RU"/>
        </w:rPr>
        <w:t>в  октябре  2019  года*</w:t>
      </w:r>
    </w:p>
    <w:tbl>
      <w:tblPr>
        <w:tblpPr w:leftFromText="180" w:rightFromText="180" w:vertAnchor="text" w:horzAnchor="margin" w:tblpX="-34" w:tblpY="28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"/>
        <w:gridCol w:w="59"/>
        <w:gridCol w:w="1466"/>
        <w:gridCol w:w="34"/>
        <w:gridCol w:w="69"/>
        <w:gridCol w:w="2168"/>
        <w:gridCol w:w="30"/>
        <w:gridCol w:w="108"/>
        <w:gridCol w:w="2730"/>
      </w:tblGrid>
      <w:tr w:rsidR="0035362C" w:rsidRPr="00982E00" w:rsidTr="001C1C41">
        <w:trPr>
          <w:trHeight w:val="977"/>
        </w:trPr>
        <w:tc>
          <w:tcPr>
            <w:tcW w:w="3401" w:type="dxa"/>
            <w:gridSpan w:val="2"/>
            <w:vAlign w:val="center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Наименование района, города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Наименование организации, населенного пункта</w:t>
            </w:r>
          </w:p>
        </w:tc>
      </w:tr>
      <w:tr w:rsidR="0035362C" w:rsidRPr="00982E00" w:rsidTr="001C1C41">
        <w:trPr>
          <w:trHeight w:val="561"/>
        </w:trPr>
        <w:tc>
          <w:tcPr>
            <w:tcW w:w="10065" w:type="dxa"/>
            <w:gridSpan w:val="10"/>
            <w:vAlign w:val="center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35362C" w:rsidRPr="00982E00" w:rsidTr="001C1C41">
        <w:trPr>
          <w:trHeight w:val="839"/>
        </w:trPr>
        <w:tc>
          <w:tcPr>
            <w:tcW w:w="3401" w:type="dxa"/>
            <w:gridSpan w:val="2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ЗАЯЦ 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Леонид Константинович -  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7" w:type="dxa"/>
            <w:gridSpan w:val="2"/>
            <w:shd w:val="clear" w:color="auto" w:fill="FFFFFF"/>
          </w:tcPr>
          <w:p w:rsidR="0035362C" w:rsidRPr="00982E00" w:rsidRDefault="0035362C" w:rsidP="001C1C41">
            <w:pPr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color w:val="000000"/>
                <w:sz w:val="30"/>
                <w:szCs w:val="30"/>
                <w:lang w:eastAsia="ru-RU"/>
              </w:rPr>
            </w:pPr>
            <w:r w:rsidRPr="00982E00">
              <w:rPr>
                <w:rFonts w:ascii="Times New Roman" w:eastAsia="Batang" w:hAnsi="Times New Roman" w:cs="Batang"/>
                <w:color w:val="000000"/>
                <w:sz w:val="30"/>
                <w:szCs w:val="30"/>
                <w:lang w:eastAsia="ru-RU"/>
              </w:rPr>
              <w:t>г</w:t>
            </w:r>
            <w:proofErr w:type="gramStart"/>
            <w:r w:rsidRPr="00982E00">
              <w:rPr>
                <w:rFonts w:ascii="Times New Roman" w:eastAsia="Batang" w:hAnsi="Times New Roman" w:cs="Batang"/>
                <w:color w:val="000000"/>
                <w:sz w:val="30"/>
                <w:szCs w:val="30"/>
                <w:lang w:eastAsia="ru-RU"/>
              </w:rPr>
              <w:t>.М</w:t>
            </w:r>
            <w:proofErr w:type="gramEnd"/>
            <w:r w:rsidRPr="00982E00">
              <w:rPr>
                <w:rFonts w:ascii="Times New Roman" w:eastAsia="Batang" w:hAnsi="Times New Roman" w:cs="Batang"/>
                <w:color w:val="000000"/>
                <w:sz w:val="30"/>
                <w:szCs w:val="30"/>
                <w:lang w:eastAsia="ru-RU"/>
              </w:rPr>
              <w:t>огилев</w:t>
            </w:r>
          </w:p>
        </w:tc>
        <w:tc>
          <w:tcPr>
            <w:tcW w:w="2868" w:type="dxa"/>
            <w:gridSpan w:val="3"/>
            <w:shd w:val="clear" w:color="auto" w:fill="FFFFFF"/>
          </w:tcPr>
          <w:p w:rsidR="0035362C" w:rsidRPr="00982E00" w:rsidRDefault="0035362C" w:rsidP="001C1C41">
            <w:pPr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Batang" w:hAnsi="Times New Roman" w:cs="Batang"/>
                <w:color w:val="000000"/>
                <w:sz w:val="28"/>
                <w:szCs w:val="28"/>
                <w:lang w:eastAsia="ru-RU"/>
              </w:rPr>
              <w:t>СЗАО «Могилевский вагоностроительный завод»</w:t>
            </w:r>
          </w:p>
        </w:tc>
      </w:tr>
      <w:tr w:rsidR="0035362C" w:rsidRPr="00982E00" w:rsidTr="001C1C41">
        <w:trPr>
          <w:trHeight w:val="342"/>
        </w:trPr>
        <w:tc>
          <w:tcPr>
            <w:tcW w:w="10065" w:type="dxa"/>
            <w:gridSpan w:val="10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  <w:t>1 подгруппа</w:t>
            </w:r>
          </w:p>
        </w:tc>
      </w:tr>
      <w:tr w:rsidR="0035362C" w:rsidRPr="00982E00" w:rsidTr="001C1C41">
        <w:trPr>
          <w:trHeight w:val="1810"/>
        </w:trPr>
        <w:tc>
          <w:tcPr>
            <w:tcW w:w="3401" w:type="dxa"/>
            <w:gridSpan w:val="2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val="be-BY" w:eastAsia="ru-RU"/>
              </w:rPr>
              <w:t xml:space="preserve">ШЕРБАЧЕНЯ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val="be-BY" w:eastAsia="ru-RU"/>
              </w:rPr>
              <w:t>Игорь Владимирович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АЛЕКСО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9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ЯКУБОВ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Хотимский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ОАО «Хотимский льнозавод»</w:t>
            </w:r>
          </w:p>
        </w:tc>
      </w:tr>
      <w:tr w:rsidR="0035362C" w:rsidRPr="00982E00" w:rsidTr="001C1C41">
        <w:trPr>
          <w:trHeight w:val="325"/>
        </w:trPr>
        <w:tc>
          <w:tcPr>
            <w:tcW w:w="10065" w:type="dxa"/>
            <w:gridSpan w:val="10"/>
            <w:shd w:val="clear" w:color="auto" w:fill="FFFFFF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  <w:t>2 подгруппа</w:t>
            </w:r>
          </w:p>
        </w:tc>
      </w:tr>
      <w:tr w:rsidR="0035362C" w:rsidRPr="00982E00" w:rsidTr="001C1C41">
        <w:trPr>
          <w:trHeight w:val="1200"/>
        </w:trPr>
        <w:tc>
          <w:tcPr>
            <w:tcW w:w="3401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КРАСОВСКИЙ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Виктор Михайлович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МАСЮК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Кричевский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2E00">
              <w:rPr>
                <w:rFonts w:ascii="Times New Roman" w:hAnsi="Times New Roman"/>
                <w:color w:val="000000"/>
                <w:sz w:val="28"/>
                <w:szCs w:val="28"/>
              </w:rPr>
              <w:t>Кричевский завод ЖБИ</w:t>
            </w:r>
          </w:p>
        </w:tc>
      </w:tr>
      <w:tr w:rsidR="0035362C" w:rsidRPr="00982E00" w:rsidTr="001C1C41">
        <w:trPr>
          <w:trHeight w:val="14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56"/>
                <w:tab w:val="left" w:pos="279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16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МАЙМУСОВ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БАТОВСКИЙ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Сергей Алексеевич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ПОДОЛЬСКИЙ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Вячеслав Вячеславович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Мстиславский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ГЛХУ «Мстиславский лесхоз»</w:t>
            </w:r>
          </w:p>
        </w:tc>
      </w:tr>
      <w:tr w:rsidR="0035362C" w:rsidRPr="00982E00" w:rsidTr="001C1C41">
        <w:trPr>
          <w:trHeight w:val="207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  <w:t>4 подгруппа</w:t>
            </w:r>
          </w:p>
        </w:tc>
      </w:tr>
      <w:tr w:rsidR="0035362C" w:rsidRPr="00982E00" w:rsidTr="001C1C41">
        <w:trPr>
          <w:trHeight w:val="703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МУЗЫЧЕНКО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250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Екатерина Анатольевна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ХАДУСКИНА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Шкловский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КСДУП «Шкловская ПМК № 2»</w:t>
            </w:r>
          </w:p>
        </w:tc>
      </w:tr>
      <w:tr w:rsidR="0035362C" w:rsidRPr="00982E00" w:rsidTr="001C1C41">
        <w:trPr>
          <w:trHeight w:val="39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35362C" w:rsidRPr="00982E00" w:rsidTr="001C1C41">
        <w:trPr>
          <w:trHeight w:val="1001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АКУЛИЧ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Василий Иванович - 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7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огилев</w:t>
            </w:r>
          </w:p>
        </w:tc>
        <w:tc>
          <w:tcPr>
            <w:tcW w:w="2868" w:type="dxa"/>
            <w:gridSpan w:val="3"/>
          </w:tcPr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ОАО «Могилевхлебопро-дукт </w:t>
            </w:r>
            <w:proofErr w:type="gramStart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–у</w:t>
            </w:r>
            <w:proofErr w:type="gramEnd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правляющая компания холдинга «Могилевхлебопродукт»</w:t>
            </w: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362C" w:rsidRPr="00982E00" w:rsidTr="001C1C41">
        <w:trPr>
          <w:trHeight w:val="322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lastRenderedPageBreak/>
              <w:t>1 подгруппа</w:t>
            </w:r>
          </w:p>
        </w:tc>
      </w:tr>
      <w:tr w:rsidR="0035362C" w:rsidRPr="00982E00" w:rsidTr="001C1C41">
        <w:trPr>
          <w:trHeight w:val="1337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МАСЛОВ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Сергей Николаевич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МАРТЫНОВСКИЙ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Андрей Владимирович ДАШКОВА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Горецкий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ДСУ № 27 ОАО «ДСТ № 3»</w:t>
            </w:r>
          </w:p>
        </w:tc>
      </w:tr>
      <w:tr w:rsidR="0035362C" w:rsidRPr="00982E00" w:rsidTr="001C1C41">
        <w:trPr>
          <w:trHeight w:val="352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4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35362C" w:rsidRPr="00982E00" w:rsidTr="001C1C41">
        <w:trPr>
          <w:trHeight w:val="12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ПЕТРУЧЕНЯ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Ирина Михайловна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МЕНЬШИКОВА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Татьяна Федоровна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Чаусский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7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ОАО «Чаусский маслодельно-сыродельный завод»</w:t>
            </w:r>
          </w:p>
        </w:tc>
      </w:tr>
      <w:tr w:rsidR="0035362C" w:rsidRPr="00982E00" w:rsidTr="001C1C41">
        <w:trPr>
          <w:trHeight w:val="14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16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МОРОЗОВА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Елена Анатольевна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ПИЩЕНКО 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Олег Александрович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ШЛОГОВА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РПУП «Семнадцать»</w:t>
            </w:r>
          </w:p>
        </w:tc>
      </w:tr>
      <w:tr w:rsidR="0035362C" w:rsidRPr="00982E00" w:rsidTr="001C1C41">
        <w:trPr>
          <w:trHeight w:val="491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31"/>
                <w:tab w:val="left" w:pos="31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35362C" w:rsidRPr="00982E00" w:rsidTr="001C1C41">
        <w:trPr>
          <w:trHeight w:val="916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МАЛАШКО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Валерий Анатольевич, 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1525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1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огилев</w:t>
            </w:r>
          </w:p>
        </w:tc>
        <w:tc>
          <w:tcPr>
            <w:tcW w:w="2868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УО «Могилевский государственный университет продовольствия»</w:t>
            </w:r>
          </w:p>
        </w:tc>
      </w:tr>
      <w:tr w:rsidR="0035362C" w:rsidRPr="00982E00" w:rsidTr="001C1C41">
        <w:trPr>
          <w:trHeight w:val="329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35362C" w:rsidRPr="00982E00" w:rsidTr="001C1C41">
        <w:trPr>
          <w:trHeight w:val="1377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СТЕЛЬМАШОК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Олег Владимирович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МУРАВЬЕВ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Владимир Иванович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КОЗЛОВ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Дрибинский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Встреча с работниками социальной сферы Дрибинского района</w:t>
            </w:r>
          </w:p>
        </w:tc>
      </w:tr>
      <w:tr w:rsidR="0035362C" w:rsidRPr="00982E00" w:rsidTr="001C1C41">
        <w:trPr>
          <w:trHeight w:val="123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35362C" w:rsidRPr="00982E00" w:rsidTr="001C1C41">
        <w:trPr>
          <w:trHeight w:val="1400"/>
        </w:trPr>
        <w:tc>
          <w:tcPr>
            <w:tcW w:w="3401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ДЕДКОВ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Николай Леонидович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ШАХ Сергей Сергеевич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БУБЕНЦОВ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FF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Хотимский район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КУП «Хотимская ПМК № 276»</w:t>
            </w:r>
          </w:p>
        </w:tc>
      </w:tr>
      <w:tr w:rsidR="0035362C" w:rsidRPr="00982E00" w:rsidTr="001C1C41">
        <w:trPr>
          <w:trHeight w:val="416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16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ЖИЛИН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Александр Дмитриевич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СТОЛЯРОВ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Андрей Михайлович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ОЛЕНИКОВ</w:t>
            </w: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Геннадий Геннадьевич</w:t>
            </w: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 w:bidi="lo-LA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 w:bidi="lo-LA"/>
              </w:rPr>
              <w:t>Краснопольский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 w:bidi="lo-LA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 w:bidi="lo-LA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УЗ «Краснопольская ЦРБ»</w:t>
            </w:r>
          </w:p>
        </w:tc>
      </w:tr>
      <w:tr w:rsidR="0035362C" w:rsidRPr="00982E00" w:rsidTr="001C1C41">
        <w:trPr>
          <w:trHeight w:val="239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lastRenderedPageBreak/>
              <w:t>4 подгруппа</w:t>
            </w:r>
          </w:p>
        </w:tc>
      </w:tr>
      <w:tr w:rsidR="0035362C" w:rsidRPr="00982E00" w:rsidTr="001C1C41">
        <w:trPr>
          <w:trHeight w:val="127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СЫРАНКОВ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Сергей Александрович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ДИВАКОВА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Елена Григорьевна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Кличевский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КСУП «Тельмана»</w:t>
            </w:r>
          </w:p>
        </w:tc>
      </w:tr>
      <w:tr w:rsidR="0035362C" w:rsidRPr="00982E00" w:rsidTr="001C1C41">
        <w:trPr>
          <w:trHeight w:val="498"/>
        </w:trPr>
        <w:tc>
          <w:tcPr>
            <w:tcW w:w="10065" w:type="dxa"/>
            <w:gridSpan w:val="10"/>
            <w:vAlign w:val="center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35362C" w:rsidRPr="00982E00" w:rsidTr="001C1C41">
        <w:trPr>
          <w:trHeight w:val="646"/>
        </w:trPr>
        <w:tc>
          <w:tcPr>
            <w:tcW w:w="3460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СТРАХАР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Руслан Борисович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156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8" w:type="dxa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2868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ЗАО «Серволюкс-Агро»</w:t>
            </w:r>
          </w:p>
        </w:tc>
      </w:tr>
      <w:tr w:rsidR="0035362C" w:rsidRPr="00982E00" w:rsidTr="001C1C41">
        <w:trPr>
          <w:trHeight w:val="395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35362C" w:rsidRPr="00982E00" w:rsidTr="001C1C41">
        <w:trPr>
          <w:trHeight w:val="12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БАЛАШЕНКО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Дмитрий Владимирович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ОСМОЛОВСКИЙ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Виктор Михайлович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Глусский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30"/>
                <w:szCs w:val="30"/>
                <w:lang w:eastAsia="ru-RU"/>
              </w:rPr>
              <w:t>МКО УПП «Облтопливо», ф-л «Глусский райтопсбыт»</w:t>
            </w:r>
          </w:p>
        </w:tc>
      </w:tr>
      <w:tr w:rsidR="0035362C" w:rsidRPr="00982E00" w:rsidTr="001C1C41">
        <w:trPr>
          <w:trHeight w:val="14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35362C" w:rsidRPr="00982E00" w:rsidTr="001C1C41">
        <w:trPr>
          <w:trHeight w:val="1600"/>
        </w:trPr>
        <w:tc>
          <w:tcPr>
            <w:tcW w:w="3369" w:type="dxa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МЯКИНЬКИЙ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Олег Владимирович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ВИСКОВСКИЙ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Владислав Владимирович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БРЕЖЕЗИНСКИЙ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Вадим Владимирович</w:t>
            </w:r>
          </w:p>
        </w:tc>
        <w:tc>
          <w:tcPr>
            <w:tcW w:w="1591" w:type="dxa"/>
            <w:gridSpan w:val="4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  <w:t>Круглянский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Круглянский УКП «Жилкомхоз»</w:t>
            </w:r>
          </w:p>
        </w:tc>
      </w:tr>
      <w:tr w:rsidR="0035362C" w:rsidRPr="00982E00" w:rsidTr="001C1C41">
        <w:trPr>
          <w:trHeight w:val="377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12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МОИСЕЕВ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Николай Михайлович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 БОРИСЕНКО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Николай Сергеевич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Бобруйский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СПК «Гигант»</w:t>
            </w:r>
          </w:p>
        </w:tc>
      </w:tr>
      <w:tr w:rsidR="0035362C" w:rsidRPr="00982E00" w:rsidTr="001C1C41">
        <w:trPr>
          <w:trHeight w:val="14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35362C" w:rsidRPr="00982E00" w:rsidTr="001C1C41">
        <w:trPr>
          <w:trHeight w:val="1200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КЛИШО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Игорь Леонтьевич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ТЕПЛЯКОВ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Константин Ильич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ФЕДОНЕНКОВ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ru-RU"/>
              </w:rPr>
              <w:t>Климовичский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0">
              <w:rPr>
                <w:rFonts w:ascii="Times New Roman" w:hAnsi="Times New Roman"/>
                <w:sz w:val="28"/>
                <w:szCs w:val="28"/>
              </w:rPr>
              <w:t>ОАО «Климовичирайагропромтехснаб»</w:t>
            </w:r>
          </w:p>
        </w:tc>
      </w:tr>
      <w:tr w:rsidR="0035362C" w:rsidRPr="00982E00" w:rsidTr="001C1C41">
        <w:trPr>
          <w:trHeight w:val="393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35362C" w:rsidRPr="00982E00" w:rsidTr="001C1C41">
        <w:trPr>
          <w:trHeight w:val="883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ПАРХАМОВИЧ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Руслан Викторович – 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7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Осиповичский район</w:t>
            </w:r>
          </w:p>
        </w:tc>
        <w:tc>
          <w:tcPr>
            <w:tcW w:w="2868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УКП «Жилкомхоз»</w:t>
            </w:r>
          </w:p>
        </w:tc>
      </w:tr>
      <w:tr w:rsidR="0035362C" w:rsidRPr="00982E00" w:rsidTr="001C1C41">
        <w:trPr>
          <w:trHeight w:val="441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35362C" w:rsidRPr="00982E00" w:rsidTr="001C1C41">
        <w:trPr>
          <w:trHeight w:val="414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НОВИКОВ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Сергей Валентинович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НЕМЕНКОВ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Дмитрий Анатольевич МАЛАХОВ</w:t>
            </w: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Дмитрий Владиславович</w:t>
            </w:r>
          </w:p>
          <w:p w:rsidR="0035362C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5" w:type="dxa"/>
            <w:gridSpan w:val="4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Белыничский район</w:t>
            </w:r>
          </w:p>
        </w:tc>
        <w:tc>
          <w:tcPr>
            <w:tcW w:w="2730" w:type="dxa"/>
          </w:tcPr>
          <w:p w:rsidR="0035362C" w:rsidRPr="00982E00" w:rsidRDefault="0035362C" w:rsidP="001C1C4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982E0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Физкультурно-оздоровительный комплекс «Друть»</w:t>
            </w:r>
          </w:p>
        </w:tc>
      </w:tr>
      <w:tr w:rsidR="0035362C" w:rsidRPr="00982E00" w:rsidTr="001C1C41">
        <w:trPr>
          <w:trHeight w:val="144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lastRenderedPageBreak/>
              <w:t>2 подгруппа</w:t>
            </w:r>
          </w:p>
        </w:tc>
      </w:tr>
      <w:tr w:rsidR="0035362C" w:rsidRPr="00982E00" w:rsidTr="001C1C41">
        <w:trPr>
          <w:trHeight w:val="1104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ЗУБРИНОВИЧ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Дмитрий Степанович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ЖИГУНОВ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Сергей Анатольевич</w:t>
            </w: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обруйск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ОАО «Белшина»</w:t>
            </w:r>
          </w:p>
        </w:tc>
      </w:tr>
      <w:tr w:rsidR="0035362C" w:rsidRPr="00982E00" w:rsidTr="001C1C41">
        <w:trPr>
          <w:trHeight w:val="410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415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ШУТОВА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Светлана Александровна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КОРОПОВ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Олег Леонидович  ИЩЕНКО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Славгородский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7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ОАО «Присожье»</w:t>
            </w:r>
          </w:p>
        </w:tc>
      </w:tr>
      <w:tr w:rsidR="0035362C" w:rsidRPr="00982E00" w:rsidTr="001C1C41">
        <w:trPr>
          <w:trHeight w:val="385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35362C" w:rsidRPr="00982E00" w:rsidTr="001C1C41">
        <w:trPr>
          <w:trHeight w:val="1145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ПАПКОВ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Сергей Валерьевич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АВХУТСКИЙ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Сергей Константинович ПРОФАТИЛОВ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Чериковский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УКП «Жилкомхоз»</w:t>
            </w:r>
          </w:p>
        </w:tc>
      </w:tr>
      <w:tr w:rsidR="0035362C" w:rsidRPr="00982E00" w:rsidTr="001C1C41">
        <w:trPr>
          <w:trHeight w:val="355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35362C" w:rsidRPr="00982E00" w:rsidTr="001C1C41">
        <w:trPr>
          <w:trHeight w:val="297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35362C" w:rsidRPr="00982E00" w:rsidTr="001C1C41">
        <w:trPr>
          <w:trHeight w:val="1044"/>
        </w:trPr>
        <w:tc>
          <w:tcPr>
            <w:tcW w:w="3401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РОЖКОВ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Роман Леонидович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КУСКОВА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Костюковичский район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Костюковичское райпо</w:t>
            </w:r>
          </w:p>
        </w:tc>
      </w:tr>
      <w:tr w:rsidR="0035362C" w:rsidRPr="00982E00" w:rsidTr="001C1C41">
        <w:trPr>
          <w:trHeight w:val="327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ru-RU"/>
              </w:rPr>
              <w:t>2  подгруппа</w:t>
            </w:r>
          </w:p>
        </w:tc>
      </w:tr>
      <w:tr w:rsidR="0035362C" w:rsidRPr="00982E00" w:rsidTr="001C1C41">
        <w:trPr>
          <w:trHeight w:val="422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ТАРАСЕНКО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250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Светлана Петровна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ЛАКИЗА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Дмитрий Владимирович</w:t>
            </w: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БЛАШКОВ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Быховский 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Районный центр социального обслуживания населения</w:t>
            </w:r>
          </w:p>
        </w:tc>
      </w:tr>
      <w:tr w:rsidR="0035362C" w:rsidRPr="00982E00" w:rsidTr="001C1C41">
        <w:trPr>
          <w:trHeight w:val="379"/>
        </w:trPr>
        <w:tc>
          <w:tcPr>
            <w:tcW w:w="10065" w:type="dxa"/>
            <w:gridSpan w:val="10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35362C" w:rsidRPr="00982E00" w:rsidTr="001C1C41">
        <w:trPr>
          <w:trHeight w:val="1526"/>
        </w:trPr>
        <w:tc>
          <w:tcPr>
            <w:tcW w:w="3401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БАРГАТИН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jc w:val="both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ru-RU"/>
              </w:rPr>
              <w:t>Александр Константинович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КРИКУНОВ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Александр Тимофеевич </w:t>
            </w:r>
          </w:p>
        </w:tc>
        <w:tc>
          <w:tcPr>
            <w:tcW w:w="1559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7" w:type="dxa"/>
            <w:gridSpan w:val="3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Осиповичский</w:t>
            </w:r>
          </w:p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38" w:type="dxa"/>
            <w:gridSpan w:val="2"/>
          </w:tcPr>
          <w:p w:rsidR="0035362C" w:rsidRPr="00982E00" w:rsidRDefault="0035362C" w:rsidP="001C1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82E0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ОСП «СУ № 2 на ст. Осиповичи «ОАО «Дорстроймонтажтрест»</w:t>
            </w:r>
          </w:p>
        </w:tc>
      </w:tr>
    </w:tbl>
    <w:p w:rsidR="0035362C" w:rsidRPr="00982E00" w:rsidRDefault="0035362C" w:rsidP="0035362C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sz w:val="30"/>
          <w:szCs w:val="30"/>
          <w:lang w:eastAsia="ru-RU"/>
        </w:rPr>
      </w:pPr>
      <w:r w:rsidRPr="00982E00">
        <w:rPr>
          <w:rFonts w:ascii="Times New Roman" w:eastAsia="SimSun" w:hAnsi="Times New Roman"/>
          <w:sz w:val="30"/>
          <w:szCs w:val="30"/>
          <w:lang w:eastAsia="ru-RU"/>
        </w:rPr>
        <w:t>_________</w:t>
      </w:r>
    </w:p>
    <w:p w:rsidR="0035362C" w:rsidRPr="00982E00" w:rsidRDefault="0035362C" w:rsidP="0035362C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eastAsia="SimSun"/>
          <w:lang w:eastAsia="ru-RU"/>
        </w:rPr>
      </w:pPr>
      <w:r w:rsidRPr="00982E00">
        <w:rPr>
          <w:rFonts w:eastAsia="SimSun"/>
          <w:lang w:eastAsia="ru-RU"/>
        </w:rPr>
        <w:t xml:space="preserve">            *  </w:t>
      </w:r>
      <w:r w:rsidRPr="00982E00">
        <w:rPr>
          <w:rFonts w:ascii="Times New Roman" w:eastAsia="SimSun" w:hAnsi="Times New Roman"/>
          <w:sz w:val="18"/>
          <w:lang w:eastAsia="ru-RU"/>
        </w:rPr>
        <w:t>в графике возможны изменения</w:t>
      </w:r>
      <w:r w:rsidRPr="00982E00">
        <w:rPr>
          <w:rFonts w:eastAsia="SimSun"/>
          <w:lang w:eastAsia="ru-RU"/>
        </w:rPr>
        <w:t>.</w:t>
      </w:r>
    </w:p>
    <w:p w:rsidR="0035362C" w:rsidRPr="00982E00" w:rsidRDefault="0035362C" w:rsidP="0035362C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sz w:val="30"/>
          <w:szCs w:val="30"/>
          <w:lang w:eastAsia="ru-RU"/>
        </w:rPr>
      </w:pPr>
    </w:p>
    <w:p w:rsidR="00791A96" w:rsidRPr="00D61B6A" w:rsidRDefault="00791A96">
      <w:pPr>
        <w:rPr>
          <w:rFonts w:ascii="Times New Roman" w:hAnsi="Times New Roman"/>
          <w:sz w:val="28"/>
          <w:szCs w:val="28"/>
        </w:rPr>
      </w:pPr>
    </w:p>
    <w:sectPr w:rsidR="00791A96" w:rsidRPr="00D61B6A" w:rsidSect="00F40D6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1107"/>
      <w:docPartObj>
        <w:docPartGallery w:val="Page Numbers (Top of Page)"/>
        <w:docPartUnique/>
      </w:docPartObj>
    </w:sdtPr>
    <w:sdtEndPr/>
    <w:sdtContent>
      <w:p w:rsidR="00F40D68" w:rsidRDefault="003536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F40D68" w:rsidRDefault="003536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D61B6A"/>
    <w:rsid w:val="0035362C"/>
    <w:rsid w:val="00791A96"/>
    <w:rsid w:val="00D6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36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62C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3536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62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36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3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536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rec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12041</Words>
  <Characters>68637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2019-10-15T11:43:00Z</dcterms:created>
  <dcterms:modified xsi:type="dcterms:W3CDTF">2019-10-15T11:57:00Z</dcterms:modified>
</cp:coreProperties>
</file>