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МОГИЛЁВСКИЙ ОБЛАСТНОЙ ИСПОЛНИТЕЛЬНЫЙ КОМИТЕТ</w:t>
      </w: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ГЛАВНОЕ УПРАВЛЕНИЕ ИДЕОЛОГИЧЕСКОЙ РАБОТЫ</w:t>
      </w: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И ПО ДЕЛАМ МОЛОДЕЖИ</w:t>
      </w: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Pr="00E8268F" w:rsidRDefault="0035362C" w:rsidP="00353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68F">
        <w:rPr>
          <w:rFonts w:ascii="Times New Roman" w:hAnsi="Times New Roman"/>
          <w:b/>
          <w:sz w:val="32"/>
          <w:szCs w:val="32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35362C" w:rsidRDefault="0035362C" w:rsidP="0035362C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материал  для информационно-пропагандистских групп</w:t>
      </w:r>
    </w:p>
    <w:p w:rsidR="0035362C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Default="0035362C" w:rsidP="0035362C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г. Могилёв</w:t>
      </w:r>
    </w:p>
    <w:p w:rsidR="0035362C" w:rsidRPr="004E028E" w:rsidRDefault="0035362C" w:rsidP="0035362C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октябрь</w:t>
      </w:r>
      <w:r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2019 г.</w:t>
      </w:r>
    </w:p>
    <w:p w:rsidR="0035362C" w:rsidRDefault="0035362C" w:rsidP="00353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Default="0035362C" w:rsidP="00353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362C" w:rsidRPr="0079459F" w:rsidRDefault="0035362C" w:rsidP="00353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</w:rPr>
        <w:t xml:space="preserve">В соответствии с Указами Президента Республики Беларусь от </w:t>
      </w:r>
      <w:r w:rsidRPr="0079459F">
        <w:rPr>
          <w:rFonts w:ascii="Times New Roman" w:hAnsi="Times New Roman"/>
          <w:sz w:val="28"/>
          <w:szCs w:val="28"/>
        </w:rPr>
        <w:br/>
        <w:t xml:space="preserve">5 августа 2019 г. № 293 и № 294 назначены выборы в Национальное собрание Республики Беларусь </w:t>
      </w:r>
      <w:r w:rsidRPr="0079459F">
        <w:rPr>
          <w:rFonts w:ascii="Times New Roman" w:hAnsi="Times New Roman"/>
          <w:b/>
          <w:sz w:val="28"/>
          <w:szCs w:val="28"/>
        </w:rPr>
        <w:t xml:space="preserve">(на 7 ноября 2019 г. – в </w:t>
      </w:r>
      <w:r w:rsidRPr="0079459F">
        <w:rPr>
          <w:rFonts w:ascii="Times New Roman" w:hAnsi="Times New Roman"/>
          <w:b/>
          <w:spacing w:val="-8"/>
          <w:sz w:val="28"/>
          <w:szCs w:val="28"/>
        </w:rPr>
        <w:t>Совет Республики, 17 ноября 2019 г. – в Палату представителей)</w:t>
      </w:r>
      <w:r w:rsidRPr="0079459F">
        <w:rPr>
          <w:rFonts w:ascii="Times New Roman" w:hAnsi="Times New Roman"/>
          <w:spacing w:val="-8"/>
          <w:sz w:val="28"/>
          <w:szCs w:val="28"/>
        </w:rPr>
        <w:t>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 Республики Беларусь А.Г.Лукашенко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неоднократно подчеркивал, что «</w:t>
      </w:r>
      <w:r w:rsidRPr="0079459F">
        <w:rPr>
          <w:rFonts w:ascii="Times New Roman" w:hAnsi="Times New Roman"/>
          <w:b/>
          <w:sz w:val="28"/>
          <w:szCs w:val="28"/>
        </w:rPr>
        <w:t>парламент – это основа будущего</w:t>
      </w:r>
      <w:r w:rsidRPr="0079459F">
        <w:rPr>
          <w:rFonts w:ascii="Times New Roman" w:hAnsi="Times New Roman"/>
          <w:sz w:val="28"/>
          <w:szCs w:val="28"/>
        </w:rPr>
        <w:t>». Именно поэтому в ежегодном Послании к белорусскому народу и Национальному собранию Республики Беларусь Глава государства заявил, что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794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государства для народа»</w:t>
      </w:r>
      <w:r w:rsidRPr="007945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362C" w:rsidRPr="0079459F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16 сентября 2019 г. на встрече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председателем Палаты представителей Национального собрания В.П.Андрейченко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Президент Республики Беларусь А.Г.Лукашенко сказал: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»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35362C" w:rsidRPr="0079459F" w:rsidRDefault="0035362C" w:rsidP="0035362C">
      <w:pPr>
        <w:widowControl w:val="0"/>
        <w:spacing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spacing w:val="-4"/>
          <w:sz w:val="28"/>
          <w:szCs w:val="28"/>
        </w:rPr>
        <w:t>Глава государства</w:t>
      </w:r>
      <w:r w:rsidRPr="0079459F">
        <w:rPr>
          <w:rFonts w:ascii="Times New Roman" w:hAnsi="Times New Roman"/>
          <w:spacing w:val="-4"/>
          <w:sz w:val="28"/>
          <w:szCs w:val="28"/>
        </w:rPr>
        <w:t xml:space="preserve"> отметил, что страна нуждается в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79459F">
        <w:rPr>
          <w:rFonts w:ascii="Times New Roman" w:hAnsi="Times New Roman"/>
          <w:spacing w:val="-6"/>
          <w:sz w:val="28"/>
          <w:szCs w:val="28"/>
        </w:rPr>
        <w:t>, а руководство принципом преемственности позволит обеспечить более профессиональную и эффективную работу</w:t>
      </w:r>
      <w:r w:rsidRPr="0079459F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Парламента.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Развитие института парламентаризма в Республике Беларусь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Посполитой,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9459F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формально самым </w:t>
      </w:r>
      <w:proofErr w:type="gramStart"/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древним</w:t>
      </w:r>
      <w:proofErr w:type="gramEnd"/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действующим до сегодняшнего дня парламентом считается исландский альтинг, впервые созванный в 930 году.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27 июля 1990 года Верховный Совет принял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Декларацию «О государственном суверенитете Белорусской Советской Социалистической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Республики», получившую 25 августа 1991 г. статус конституционного закона.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Беларусь стала парламентской республикой.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Функции Парламента в стране выполнял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Верховный Совет Республики Беларусь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>(разделения на две палаты тогда еще не было)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требовалось на практике реализовать принцип разделения властей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и создать по-настоящему работоспособный представительный и законодательный орган.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страны А.Г.Лукашенко</w:t>
      </w:r>
      <w:r w:rsidRPr="0079459F">
        <w:rPr>
          <w:rFonts w:ascii="Times New Roman" w:hAnsi="Times New Roman"/>
          <w:spacing w:val="-4"/>
          <w:sz w:val="28"/>
          <w:szCs w:val="28"/>
        </w:rPr>
        <w:t>. На состоявшемся</w:t>
      </w:r>
      <w:r w:rsidRPr="0079459F">
        <w:rPr>
          <w:rFonts w:ascii="Times New Roman" w:hAnsi="Times New Roman"/>
          <w:sz w:val="28"/>
          <w:szCs w:val="28"/>
        </w:rPr>
        <w:t xml:space="preserve"> 24 ноября 1996 г. референдуме граждане проголосовали за твердую власть, стабильность и законность. </w:t>
      </w:r>
      <w:r w:rsidRPr="0079459F">
        <w:rPr>
          <w:rFonts w:ascii="Times New Roman" w:hAnsi="Times New Roman"/>
          <w:b/>
          <w:spacing w:val="-12"/>
          <w:sz w:val="28"/>
          <w:szCs w:val="28"/>
        </w:rPr>
        <w:t>Результатами конституционной реформы явились установление</w:t>
      </w:r>
      <w:r w:rsidRPr="0079459F">
        <w:rPr>
          <w:rFonts w:ascii="Times New Roman" w:hAnsi="Times New Roman"/>
          <w:b/>
          <w:sz w:val="28"/>
          <w:szCs w:val="28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двухпалатного Парламента – Национального собрания Республики Беларусь</w:t>
      </w:r>
      <w:r w:rsidRPr="0079459F">
        <w:rPr>
          <w:rFonts w:ascii="Times New Roman" w:hAnsi="Times New Roman"/>
          <w:i/>
          <w:sz w:val="28"/>
          <w:szCs w:val="28"/>
        </w:rPr>
        <w:t xml:space="preserve"> –</w:t>
      </w:r>
      <w:r w:rsidRPr="0079459F">
        <w:rPr>
          <w:rFonts w:ascii="Times New Roman" w:hAnsi="Times New Roman"/>
          <w:sz w:val="28"/>
          <w:szCs w:val="28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В новом Парламенте были учтены интересы органов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 xml:space="preserve">территориального самоуправления, </w:t>
      </w:r>
      <w:r w:rsidRPr="0079459F">
        <w:rPr>
          <w:rFonts w:ascii="Times New Roman" w:hAnsi="Times New Roman"/>
          <w:b/>
          <w:sz w:val="28"/>
          <w:szCs w:val="28"/>
        </w:rPr>
        <w:t xml:space="preserve">обеспечено более полное представительство всех слоев общества,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оптимизирована численность</w:t>
      </w:r>
      <w:r w:rsidRPr="0079459F">
        <w:rPr>
          <w:rFonts w:ascii="Times New Roman" w:hAnsi="Times New Roman"/>
          <w:b/>
          <w:sz w:val="28"/>
          <w:szCs w:val="28"/>
        </w:rPr>
        <w:t xml:space="preserve"> парламентариев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 также и то, что </w:t>
      </w:r>
      <w:r w:rsidRPr="0079459F">
        <w:rPr>
          <w:rFonts w:ascii="Times New Roman" w:hAnsi="Times New Roman"/>
          <w:b/>
          <w:sz w:val="28"/>
          <w:szCs w:val="28"/>
        </w:rPr>
        <w:t>депутаты стали выполнять свои функции на профессиональной основе.</w:t>
      </w:r>
      <w:r w:rsidRPr="0079459F">
        <w:rPr>
          <w:rFonts w:ascii="Times New Roman" w:hAnsi="Times New Roman"/>
          <w:sz w:val="28"/>
          <w:szCs w:val="28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 w:rsidRPr="0079459F">
        <w:rPr>
          <w:rFonts w:ascii="Times New Roman" w:hAnsi="Times New Roman"/>
          <w:b/>
          <w:sz w:val="28"/>
          <w:szCs w:val="28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79459F">
        <w:rPr>
          <w:rFonts w:ascii="Times New Roman" w:hAnsi="Times New Roman"/>
          <w:sz w:val="28"/>
          <w:szCs w:val="28"/>
        </w:rPr>
        <w:t xml:space="preserve">. По инициативе белорусского лидера </w:t>
      </w:r>
      <w:r w:rsidRPr="0079459F">
        <w:rPr>
          <w:rFonts w:ascii="Times New Roman" w:hAnsi="Times New Roman"/>
          <w:sz w:val="28"/>
          <w:szCs w:val="28"/>
        </w:rPr>
        <w:lastRenderedPageBreak/>
        <w:t>законотворческий процесс стал осуществляться на плановой основе.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Усилиями парламентариев всех созывов в стране </w:t>
      </w:r>
      <w:r w:rsidRPr="0079459F">
        <w:rPr>
          <w:rFonts w:ascii="Times New Roman" w:hAnsi="Times New Roman"/>
          <w:b/>
          <w:sz w:val="28"/>
          <w:szCs w:val="28"/>
        </w:rPr>
        <w:t xml:space="preserve">создана качественно новая законодательная база </w:t>
      </w:r>
      <w:r w:rsidRPr="0079459F">
        <w:rPr>
          <w:rFonts w:ascii="Times New Roman" w:hAnsi="Times New Roman"/>
          <w:i/>
          <w:sz w:val="28"/>
          <w:szCs w:val="28"/>
        </w:rPr>
        <w:t>(</w:t>
      </w:r>
      <w:r w:rsidRPr="0079459F">
        <w:rPr>
          <w:rFonts w:ascii="Times New Roman" w:hAnsi="Times New Roman"/>
          <w:bCs/>
          <w:i/>
          <w:sz w:val="28"/>
          <w:szCs w:val="28"/>
        </w:rPr>
        <w:t xml:space="preserve">которая включает на сегодняшний день более </w:t>
      </w:r>
      <w:r w:rsidRPr="0079459F">
        <w:rPr>
          <w:rFonts w:ascii="Times New Roman" w:hAnsi="Times New Roman"/>
          <w:i/>
          <w:sz w:val="28"/>
          <w:szCs w:val="28"/>
        </w:rPr>
        <w:t>2000 законов)</w:t>
      </w:r>
      <w:r w:rsidRPr="0079459F">
        <w:rPr>
          <w:rFonts w:ascii="Times New Roman" w:hAnsi="Times New Roman"/>
          <w:sz w:val="28"/>
          <w:szCs w:val="28"/>
        </w:rPr>
        <w:t xml:space="preserve">, учитывающая отечественный и зарубежный опыт. Принятые </w:t>
      </w:r>
      <w:r w:rsidRPr="0079459F">
        <w:rPr>
          <w:rFonts w:ascii="Times New Roman" w:hAnsi="Times New Roman"/>
          <w:b/>
          <w:sz w:val="28"/>
          <w:szCs w:val="28"/>
        </w:rPr>
        <w:t>законы охватывают все сферы жизнедеятельности государства и общества</w:t>
      </w:r>
      <w:r w:rsidRPr="0079459F">
        <w:rPr>
          <w:rFonts w:ascii="Times New Roman" w:hAnsi="Times New Roman"/>
          <w:sz w:val="28"/>
          <w:szCs w:val="28"/>
        </w:rPr>
        <w:t xml:space="preserve">. Важнейшими чертами законодательного процесса стали </w:t>
      </w:r>
      <w:r w:rsidRPr="0079459F">
        <w:rPr>
          <w:rFonts w:ascii="Times New Roman" w:hAnsi="Times New Roman"/>
          <w:b/>
          <w:sz w:val="28"/>
          <w:szCs w:val="28"/>
        </w:rPr>
        <w:t>социальная направленность и эволюционный подход к регулированию правовых отношений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Национальное собрание Республики Беларусь</w:t>
      </w:r>
    </w:p>
    <w:p w:rsidR="0035362C" w:rsidRPr="0079459F" w:rsidRDefault="0035362C" w:rsidP="0035362C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>Правовую основу деятельности</w:t>
      </w:r>
      <w:r w:rsidRPr="0079459F">
        <w:rPr>
          <w:sz w:val="28"/>
          <w:szCs w:val="28"/>
        </w:rPr>
        <w:t xml:space="preserve"> </w:t>
      </w:r>
      <w:r w:rsidRPr="0079459F">
        <w:rPr>
          <w:b/>
          <w:sz w:val="28"/>
          <w:szCs w:val="28"/>
        </w:rPr>
        <w:t>Национального собрания Республики Беларусь</w:t>
      </w:r>
      <w:r w:rsidRPr="0079459F">
        <w:rPr>
          <w:sz w:val="28"/>
          <w:szCs w:val="28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35362C" w:rsidRPr="0079459F" w:rsidRDefault="0035362C" w:rsidP="0035362C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sz w:val="28"/>
          <w:szCs w:val="28"/>
        </w:rP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 w:rsidRPr="0079459F">
        <w:rPr>
          <w:b/>
          <w:sz w:val="28"/>
          <w:szCs w:val="28"/>
        </w:rPr>
        <w:t>представительный и законодательный орган страны</w:t>
      </w:r>
      <w:r w:rsidRPr="0079459F">
        <w:rPr>
          <w:sz w:val="28"/>
          <w:szCs w:val="28"/>
        </w:rPr>
        <w:t xml:space="preserve">, состоящий </w:t>
      </w:r>
      <w:r w:rsidRPr="0079459F">
        <w:rPr>
          <w:b/>
          <w:sz w:val="28"/>
          <w:szCs w:val="28"/>
        </w:rPr>
        <w:t>из двух палат</w:t>
      </w:r>
      <w:r w:rsidRPr="0079459F">
        <w:rPr>
          <w:sz w:val="28"/>
          <w:szCs w:val="28"/>
        </w:rPr>
        <w:t xml:space="preserve">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35362C" w:rsidRPr="0079459F" w:rsidRDefault="0035362C" w:rsidP="0035362C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 xml:space="preserve">В составе Палаты представителей – 110 депутатов </w:t>
      </w:r>
      <w:r w:rsidRPr="0079459F">
        <w:rPr>
          <w:i/>
          <w:sz w:val="28"/>
          <w:szCs w:val="28"/>
        </w:rPr>
        <w:t xml:space="preserve">(председатель – </w:t>
      </w:r>
      <w:r w:rsidRPr="0079459F">
        <w:rPr>
          <w:i/>
          <w:color w:val="171717"/>
          <w:sz w:val="28"/>
          <w:szCs w:val="28"/>
        </w:rPr>
        <w:t>В.П.Андрейченко</w:t>
      </w:r>
      <w:r w:rsidRPr="0079459F">
        <w:rPr>
          <w:i/>
          <w:sz w:val="28"/>
          <w:szCs w:val="28"/>
        </w:rPr>
        <w:t>)</w:t>
      </w:r>
      <w:r w:rsidRPr="0079459F">
        <w:rPr>
          <w:sz w:val="28"/>
          <w:szCs w:val="28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35362C" w:rsidRPr="0079459F" w:rsidRDefault="0035362C" w:rsidP="0035362C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Справочно.</w:t>
      </w:r>
    </w:p>
    <w:p w:rsidR="0035362C" w:rsidRPr="0079459F" w:rsidRDefault="0035362C" w:rsidP="0035362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составе действующей Палаты представителей </w:t>
      </w:r>
      <w:r w:rsidRPr="0079459F">
        <w:rPr>
          <w:rFonts w:ascii="Times New Roman" w:hAnsi="Times New Roman"/>
          <w:b/>
          <w:i/>
          <w:sz w:val="28"/>
          <w:szCs w:val="28"/>
        </w:rPr>
        <w:t>16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 от </w:t>
      </w:r>
      <w:r w:rsidRPr="0079459F">
        <w:rPr>
          <w:rFonts w:ascii="Times New Roman" w:hAnsi="Times New Roman"/>
          <w:b/>
          <w:i/>
          <w:sz w:val="28"/>
          <w:szCs w:val="28"/>
        </w:rPr>
        <w:t>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Белорусской патриотической партии (3 депутата), Коммунистической партии Беларуси (8), Либерально-демократической партии (1), Объединенной гражданской партии (1) и Республиканской партии труда и справедливости (3).</w:t>
      </w:r>
    </w:p>
    <w:p w:rsidR="0035362C" w:rsidRPr="0079459F" w:rsidRDefault="0035362C" w:rsidP="0035362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Являлись руководителями </w:t>
      </w:r>
      <w:r w:rsidRPr="0079459F">
        <w:rPr>
          <w:rFonts w:ascii="Times New Roman" w:hAnsi="Times New Roman"/>
          <w:b/>
          <w:i/>
          <w:sz w:val="28"/>
          <w:szCs w:val="28"/>
        </w:rPr>
        <w:t>40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79459F">
        <w:rPr>
          <w:rFonts w:ascii="Times New Roman" w:hAnsi="Times New Roman"/>
          <w:b/>
          <w:i/>
          <w:sz w:val="28"/>
          <w:szCs w:val="28"/>
        </w:rPr>
        <w:t>22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79459F">
        <w:rPr>
          <w:rFonts w:ascii="Times New Roman" w:hAnsi="Times New Roman"/>
          <w:b/>
          <w:i/>
          <w:sz w:val="28"/>
          <w:szCs w:val="28"/>
        </w:rPr>
        <w:t>7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79459F">
        <w:rPr>
          <w:rFonts w:ascii="Times New Roman" w:hAnsi="Times New Roman"/>
          <w:b/>
          <w:i/>
          <w:sz w:val="28"/>
          <w:szCs w:val="28"/>
        </w:rPr>
        <w:t>четыре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депутата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35362C" w:rsidRPr="0079459F" w:rsidRDefault="0035362C" w:rsidP="0035362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9459F">
        <w:rPr>
          <w:rFonts w:ascii="Times New Roman" w:hAnsi="Times New Roman"/>
          <w:i/>
          <w:sz w:val="28"/>
          <w:szCs w:val="28"/>
        </w:rPr>
        <w:t>Награждены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орденами и медалями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79459F">
        <w:rPr>
          <w:rFonts w:ascii="Times New Roman" w:hAnsi="Times New Roman"/>
          <w:b/>
          <w:i/>
          <w:sz w:val="28"/>
          <w:szCs w:val="28"/>
        </w:rPr>
        <w:t>4</w:t>
      </w:r>
      <w:r w:rsidRPr="0079459F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79459F">
        <w:rPr>
          <w:rFonts w:ascii="Times New Roman" w:hAnsi="Times New Roman"/>
          <w:b/>
          <w:i/>
          <w:sz w:val="28"/>
          <w:szCs w:val="28"/>
        </w:rPr>
        <w:t>15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35362C" w:rsidRPr="0079459F" w:rsidRDefault="0035362C" w:rsidP="0035362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9459F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  <w:proofErr w:type="gramEnd"/>
    </w:p>
    <w:p w:rsidR="0035362C" w:rsidRPr="0079459F" w:rsidRDefault="0035362C" w:rsidP="0035362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Если в первом созыве Палаты представителей (1996</w:t>
      </w:r>
      <w:r w:rsidRPr="0079459F">
        <w:rPr>
          <w:rFonts w:ascii="Times New Roman" w:hAnsi="Times New Roman"/>
          <w:i/>
          <w:spacing w:val="-4"/>
          <w:sz w:val="28"/>
          <w:szCs w:val="28"/>
        </w:rPr>
        <w:t>–2000 годы</w:t>
      </w:r>
      <w:r w:rsidRPr="0079459F">
        <w:rPr>
          <w:rFonts w:ascii="Times New Roman" w:hAnsi="Times New Roman"/>
          <w:i/>
          <w:sz w:val="28"/>
          <w:szCs w:val="28"/>
        </w:rPr>
        <w:t xml:space="preserve">) было только 5 женщин, то сегодня </w:t>
      </w:r>
      <w:r w:rsidRPr="0079459F">
        <w:rPr>
          <w:rFonts w:ascii="Times New Roman" w:hAnsi="Times New Roman"/>
          <w:b/>
          <w:i/>
          <w:sz w:val="28"/>
          <w:szCs w:val="28"/>
        </w:rPr>
        <w:t>38</w:t>
      </w:r>
      <w:r w:rsidRPr="0079459F">
        <w:rPr>
          <w:rFonts w:ascii="Times New Roman" w:hAnsi="Times New Roman"/>
          <w:i/>
          <w:sz w:val="28"/>
          <w:szCs w:val="28"/>
        </w:rPr>
        <w:t xml:space="preserve"> (34,5% от общего числа депутатов).</w:t>
      </w:r>
    </w:p>
    <w:p w:rsidR="0035362C" w:rsidRPr="0079459F" w:rsidRDefault="0035362C" w:rsidP="0035362C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является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палатой территориального представительства </w:t>
      </w:r>
      <w:r w:rsidRPr="0079459F">
        <w:rPr>
          <w:rFonts w:ascii="Times New Roman" w:hAnsi="Times New Roman"/>
          <w:i/>
          <w:sz w:val="28"/>
          <w:szCs w:val="28"/>
        </w:rPr>
        <w:t>(председатель – М.В.Мясникович)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r w:rsidRPr="0079459F">
        <w:rPr>
          <w:rFonts w:ascii="Times New Roman" w:hAnsi="Times New Roman"/>
          <w:spacing w:val="-4"/>
          <w:sz w:val="28"/>
          <w:szCs w:val="28"/>
        </w:rPr>
        <w:t>Полный состав верхней палаты 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64 человека</w:t>
      </w:r>
      <w:r w:rsidRPr="0079459F">
        <w:rPr>
          <w:rFonts w:ascii="Times New Roman" w:hAnsi="Times New Roman"/>
          <w:sz w:val="28"/>
          <w:szCs w:val="28"/>
        </w:rPr>
        <w:t xml:space="preserve">. От каждой области и города Минска тайным голосованием избираются на заседаниях </w:t>
      </w:r>
      <w:proofErr w:type="gramStart"/>
      <w:r w:rsidRPr="0079459F">
        <w:rPr>
          <w:rFonts w:ascii="Times New Roman" w:hAnsi="Times New Roman"/>
          <w:sz w:val="28"/>
          <w:szCs w:val="28"/>
        </w:rPr>
        <w:t>депутатов местных Советов депутатов базового уровня каждой области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и города Минска по восемь членов Совета Республики. Восемь членов – назначаются Главой государства. </w:t>
      </w:r>
      <w:r w:rsidRPr="0079459F">
        <w:rPr>
          <w:rFonts w:ascii="Times New Roman" w:eastAsiaTheme="minorHAnsi" w:hAnsi="Times New Roman"/>
          <w:sz w:val="28"/>
          <w:szCs w:val="28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Палата представителей и Совет Республики избирают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постоянные комиссии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79459F">
        <w:rPr>
          <w:rFonts w:ascii="Times New Roman" w:eastAsia="Times New Roman" w:hAnsi="Times New Roman"/>
          <w:b/>
          <w:sz w:val="28"/>
          <w:szCs w:val="28"/>
        </w:rPr>
        <w:t>Совет Палаты представителей и Президиум Совета Республики</w:t>
      </w:r>
      <w:r w:rsidRPr="0079459F">
        <w:rPr>
          <w:rFonts w:ascii="Times New Roman" w:eastAsia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 Совете Республики осуществляет деятельность </w:t>
      </w:r>
      <w:r w:rsidRPr="0079459F">
        <w:rPr>
          <w:rFonts w:ascii="Times New Roman" w:hAnsi="Times New Roman"/>
          <w:b/>
          <w:sz w:val="28"/>
          <w:szCs w:val="28"/>
        </w:rPr>
        <w:t>Совет по взаимодействию органов местного самоуправления</w:t>
      </w:r>
      <w:r w:rsidRPr="0079459F">
        <w:rPr>
          <w:rFonts w:ascii="Times New Roman" w:hAnsi="Times New Roman"/>
          <w:sz w:val="28"/>
          <w:szCs w:val="28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Конституция Республики Беларусь относит к компетенции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Палаты представителей </w:t>
      </w:r>
      <w:r w:rsidRPr="0079459F">
        <w:rPr>
          <w:rFonts w:ascii="Times New Roman" w:hAnsi="Times New Roman"/>
          <w:sz w:val="28"/>
          <w:szCs w:val="28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b/>
          <w:sz w:val="28"/>
          <w:szCs w:val="28"/>
        </w:rPr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</w:t>
      </w:r>
      <w:r w:rsidRPr="0079459F">
        <w:rPr>
          <w:rFonts w:ascii="Times New Roman" w:eastAsia="Times New Roman" w:hAnsi="Times New Roman"/>
          <w:sz w:val="28"/>
          <w:szCs w:val="28"/>
        </w:rPr>
        <w:lastRenderedPageBreak/>
        <w:t xml:space="preserve">Суда, Председателя Центральной комиссии по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выборам и проведению республиканских референдумов (далее – Центральная комиссия), Генерального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</w:t>
      </w:r>
      <w:proofErr w:type="gramEnd"/>
      <w:r w:rsidRPr="0079459F">
        <w:rPr>
          <w:rFonts w:ascii="Times New Roman" w:eastAsia="Times New Roman" w:hAnsi="Times New Roman"/>
          <w:sz w:val="28"/>
          <w:szCs w:val="28"/>
        </w:rPr>
        <w:t xml:space="preserve">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b/>
          <w:spacing w:val="-6"/>
          <w:sz w:val="28"/>
          <w:szCs w:val="28"/>
        </w:rPr>
        <w:t>К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общей компетенции палат Парламента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Ключевые направления деятельности Национального собрания Республики Беларусь</w:t>
      </w:r>
    </w:p>
    <w:p w:rsidR="0035362C" w:rsidRPr="0079459F" w:rsidRDefault="0035362C" w:rsidP="0035362C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Главное направление деятельности парламентариев – принятие законов</w:t>
      </w:r>
      <w:r w:rsidRPr="0079459F">
        <w:rPr>
          <w:rFonts w:ascii="Times New Roman" w:hAnsi="Times New Roman"/>
          <w:i/>
          <w:sz w:val="28"/>
          <w:szCs w:val="28"/>
        </w:rPr>
        <w:t xml:space="preserve">. </w:t>
      </w:r>
      <w:r w:rsidRPr="0079459F">
        <w:rPr>
          <w:rFonts w:ascii="Times New Roman" w:hAnsi="Times New Roman"/>
          <w:sz w:val="28"/>
          <w:szCs w:val="28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35362C" w:rsidRPr="0079459F" w:rsidRDefault="0035362C" w:rsidP="0035362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35362C" w:rsidRPr="0079459F" w:rsidRDefault="0035362C" w:rsidP="0035362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79459F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79459F">
        <w:rPr>
          <w:rFonts w:ascii="Times New Roman" w:hAnsi="Times New Roman"/>
          <w:b/>
          <w:i/>
          <w:sz w:val="28"/>
          <w:szCs w:val="28"/>
        </w:rPr>
        <w:t>130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Совершенствование законодательства </w:t>
      </w:r>
      <w:r w:rsidRPr="0079459F">
        <w:rPr>
          <w:rFonts w:ascii="Times New Roman" w:hAnsi="Times New Roman"/>
          <w:b/>
          <w:sz w:val="28"/>
          <w:szCs w:val="28"/>
        </w:rPr>
        <w:t>в инвестиционной, бюджетно-налоговой, финансовой сферах, отраслях реального сектора и сфере оказания услуг</w:t>
      </w:r>
      <w:r w:rsidRPr="0079459F">
        <w:rPr>
          <w:rFonts w:ascii="Times New Roman" w:hAnsi="Times New Roman"/>
          <w:sz w:val="28"/>
          <w:szCs w:val="28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большая работа по совершенствованию нормативной правовой базы </w:t>
      </w:r>
      <w:r w:rsidRPr="0079459F">
        <w:rPr>
          <w:rFonts w:ascii="Times New Roman" w:hAnsi="Times New Roman"/>
          <w:b/>
          <w:sz w:val="28"/>
          <w:szCs w:val="28"/>
        </w:rPr>
        <w:t>в сфере здравоохранения</w:t>
      </w:r>
      <w:r w:rsidRPr="0079459F">
        <w:rPr>
          <w:rFonts w:ascii="Times New Roman" w:hAnsi="Times New Roman"/>
          <w:sz w:val="28"/>
          <w:szCs w:val="28"/>
        </w:rPr>
        <w:t xml:space="preserve"> в целях повышения доступности и своевременности оказания высокотехнологичной медицинской помощи населению.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79459F">
        <w:rPr>
          <w:rFonts w:ascii="Times New Roman" w:hAnsi="Times New Roman"/>
          <w:b/>
          <w:sz w:val="28"/>
          <w:szCs w:val="28"/>
        </w:rPr>
        <w:t>новая редакция Жилищного кодекса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Принятым </w:t>
      </w:r>
      <w:r w:rsidRPr="0079459F">
        <w:rPr>
          <w:rFonts w:ascii="Times New Roman" w:hAnsi="Times New Roman"/>
          <w:b/>
          <w:sz w:val="28"/>
          <w:szCs w:val="28"/>
        </w:rPr>
        <w:t>в сфере информации, информатизации и защиты информации</w:t>
      </w:r>
      <w:r w:rsidRPr="0079459F">
        <w:rPr>
          <w:rFonts w:ascii="Times New Roman" w:hAnsi="Times New Roman"/>
          <w:sz w:val="28"/>
          <w:szCs w:val="28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  <w:proofErr w:type="gramEnd"/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Депутатским корпусом шестого созыва усовершенствовано законодательство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 транспорте,</w:t>
      </w:r>
      <w:r w:rsidRPr="0079459F">
        <w:rPr>
          <w:b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</w:t>
      </w:r>
      <w:r w:rsidRPr="0079459F">
        <w:rPr>
          <w:rFonts w:ascii="Times New Roman" w:hAnsi="Times New Roman"/>
          <w:b/>
          <w:sz w:val="28"/>
          <w:szCs w:val="28"/>
        </w:rPr>
        <w:t>корректировка административного и уголовного законодательства:</w:t>
      </w:r>
      <w:r w:rsidRPr="0079459F">
        <w:rPr>
          <w:rFonts w:ascii="Times New Roman" w:hAnsi="Times New Roman"/>
          <w:sz w:val="28"/>
          <w:szCs w:val="28"/>
        </w:rPr>
        <w:t xml:space="preserve"> нацелена на гуманизацию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В сфере конституционного законодательства</w:t>
      </w:r>
      <w:r w:rsidRPr="0079459F">
        <w:rPr>
          <w:rFonts w:ascii="Times New Roman" w:hAnsi="Times New Roman"/>
          <w:sz w:val="28"/>
          <w:szCs w:val="28"/>
        </w:rPr>
        <w:t xml:space="preserve"> принята новая редакция Кодекса о судоустройстве и статусе судей и внесены корректировки в </w:t>
      </w:r>
      <w:r w:rsidRPr="0079459F">
        <w:rPr>
          <w:rFonts w:ascii="Times New Roman" w:hAnsi="Times New Roman"/>
          <w:sz w:val="28"/>
          <w:szCs w:val="28"/>
          <w:lang w:val="be-BY"/>
        </w:rPr>
        <w:t>Закон</w:t>
      </w:r>
      <w:r w:rsidRPr="0079459F">
        <w:rPr>
          <w:rFonts w:ascii="Times New Roman" w:hAnsi="Times New Roman"/>
          <w:sz w:val="28"/>
          <w:szCs w:val="28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35362C" w:rsidRPr="0079459F" w:rsidRDefault="0035362C" w:rsidP="0035362C">
      <w:pPr>
        <w:spacing w:before="120" w:after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Задачи, которые будут стоять перед вновь избранным составом парламента.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Главная задача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обеспечение преемственности политического курса</w:t>
      </w:r>
      <w:r w:rsidRPr="0079459F">
        <w:rPr>
          <w:rFonts w:ascii="Times New Roman" w:hAnsi="Times New Roman"/>
          <w:sz w:val="28"/>
          <w:szCs w:val="28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79459F">
        <w:rPr>
          <w:bCs/>
          <w:spacing w:val="-6"/>
          <w:sz w:val="28"/>
          <w:szCs w:val="28"/>
        </w:rPr>
        <w:t xml:space="preserve">Основными </w:t>
      </w:r>
      <w:r w:rsidRPr="0079459F">
        <w:rPr>
          <w:b/>
          <w:bCs/>
          <w:spacing w:val="-6"/>
          <w:sz w:val="28"/>
          <w:szCs w:val="28"/>
        </w:rPr>
        <w:t xml:space="preserve">задачами в сфере законотворчества </w:t>
      </w:r>
      <w:r w:rsidRPr="0079459F">
        <w:rPr>
          <w:bCs/>
          <w:spacing w:val="-6"/>
          <w:sz w:val="28"/>
          <w:szCs w:val="28"/>
        </w:rPr>
        <w:t>станут: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реализация поручений Главы государства.</w:t>
      </w:r>
    </w:p>
    <w:p w:rsidR="0035362C" w:rsidRPr="0079459F" w:rsidRDefault="0035362C" w:rsidP="0035362C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Основные </w:t>
      </w:r>
      <w:r w:rsidRPr="0079459F">
        <w:rPr>
          <w:rFonts w:ascii="Times New Roman" w:hAnsi="Times New Roman"/>
          <w:b/>
          <w:sz w:val="28"/>
          <w:szCs w:val="28"/>
        </w:rPr>
        <w:t>задачи в области международной деятельности</w:t>
      </w:r>
      <w:r w:rsidRPr="0079459F">
        <w:rPr>
          <w:rFonts w:ascii="Times New Roman" w:hAnsi="Times New Roman"/>
          <w:sz w:val="28"/>
          <w:szCs w:val="28"/>
        </w:rPr>
        <w:t>: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повышение имиджа Республики Беларусь на международной арене;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 xml:space="preserve">активное продвижение в международном парламентском сообществе идей интеграции интеграций и других стратегических инициатив Главы </w:t>
      </w:r>
      <w:r w:rsidRPr="0079459F">
        <w:rPr>
          <w:sz w:val="28"/>
          <w:szCs w:val="28"/>
        </w:rPr>
        <w:lastRenderedPageBreak/>
        <w:t>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отстаивание и продвижение национальных экономических интересов на внешних рынках.</w:t>
      </w:r>
    </w:p>
    <w:p w:rsidR="0035362C" w:rsidRPr="0079459F" w:rsidRDefault="0035362C" w:rsidP="0035362C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cs="Arial"/>
          <w:sz w:val="28"/>
          <w:szCs w:val="28"/>
        </w:rPr>
        <w:t>Как правило, основная часть кропотливой работы депутата не видна, а поэтому зачастую оказывается недооцененной. В этой связи новому составу Палаты представителей следует на деле продемонстрировать важность и эффективность данного института.</w:t>
      </w:r>
    </w:p>
    <w:p w:rsidR="0035362C" w:rsidRPr="0079459F" w:rsidRDefault="0035362C" w:rsidP="0035362C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Обеспечение парламентариями прав, свобод и законных интересов избирателей</w:t>
      </w:r>
      <w:r w:rsidRPr="0079459F">
        <w:rPr>
          <w:rFonts w:ascii="Times New Roman" w:hAnsi="Times New Roman"/>
          <w:b/>
          <w:i/>
          <w:sz w:val="28"/>
          <w:szCs w:val="28"/>
        </w:rPr>
        <w:t>.</w:t>
      </w:r>
      <w:r w:rsidRPr="0079459F">
        <w:rPr>
          <w:rFonts w:ascii="Times New Roman" w:hAnsi="Times New Roman"/>
          <w:sz w:val="28"/>
          <w:szCs w:val="28"/>
        </w:rPr>
        <w:t xml:space="preserve"> 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79459F">
        <w:rPr>
          <w:rFonts w:ascii="Times New Roman" w:hAnsi="Times New Roman"/>
          <w:b/>
          <w:sz w:val="28"/>
          <w:szCs w:val="28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79459F">
        <w:rPr>
          <w:rFonts w:ascii="Times New Roman" w:hAnsi="Times New Roman"/>
          <w:sz w:val="28"/>
          <w:szCs w:val="28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Одно из принципиальных направлений этой деятельности – </w:t>
      </w:r>
      <w:r w:rsidRPr="0079459F">
        <w:rPr>
          <w:rFonts w:ascii="Times New Roman" w:hAnsi="Times New Roman"/>
          <w:b/>
          <w:sz w:val="28"/>
          <w:szCs w:val="28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79459F">
        <w:rPr>
          <w:rFonts w:ascii="Times New Roman" w:hAnsi="Times New Roman"/>
          <w:sz w:val="28"/>
          <w:szCs w:val="28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79459F">
        <w:rPr>
          <w:rFonts w:ascii="Times New Roman" w:hAnsi="Times New Roman"/>
          <w:b/>
          <w:sz w:val="28"/>
          <w:szCs w:val="28"/>
        </w:rPr>
        <w:t xml:space="preserve">не реже одного раза в год, парламентарии отчитываются перед избирателями округа о </w:t>
      </w:r>
      <w:r w:rsidRPr="0079459F">
        <w:rPr>
          <w:rFonts w:ascii="Times New Roman" w:hAnsi="Times New Roman"/>
          <w:b/>
          <w:sz w:val="28"/>
          <w:szCs w:val="28"/>
        </w:rPr>
        <w:lastRenderedPageBreak/>
        <w:t>проделанной работе, ходе выполнения предвыборных программ, текущей деятельности Палаты представителей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место в депутатском графике занимает </w:t>
      </w:r>
      <w:r w:rsidRPr="0079459F">
        <w:rPr>
          <w:rFonts w:ascii="Times New Roman" w:hAnsi="Times New Roman"/>
          <w:b/>
          <w:sz w:val="28"/>
          <w:szCs w:val="28"/>
        </w:rPr>
        <w:t>общение с представителями молодого поколения.</w:t>
      </w:r>
      <w:r w:rsidRPr="0079459F">
        <w:rPr>
          <w:rFonts w:ascii="Times New Roman" w:hAnsi="Times New Roman"/>
          <w:sz w:val="28"/>
          <w:szCs w:val="28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35362C" w:rsidRPr="0079459F" w:rsidRDefault="0035362C" w:rsidP="0035362C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gramStart"/>
      <w:r w:rsidRPr="0079459F">
        <w:rPr>
          <w:rFonts w:ascii="Times New Roman" w:hAnsi="Times New Roman"/>
          <w:spacing w:val="-6"/>
          <w:sz w:val="28"/>
          <w:szCs w:val="28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12 государств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79459F">
        <w:rPr>
          <w:rFonts w:ascii="Times New Roman" w:hAnsi="Times New Roman"/>
          <w:b/>
          <w:iCs/>
          <w:spacing w:val="-6"/>
          <w:sz w:val="28"/>
          <w:szCs w:val="28"/>
        </w:rPr>
        <w:t>50 международных договоров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>.</w:t>
      </w:r>
      <w:proofErr w:type="gramEnd"/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 приглашению Парламента Республики Беларусь нашу страну с визитами посетило более </w:t>
      </w:r>
      <w:r w:rsidRPr="0079459F">
        <w:rPr>
          <w:rFonts w:ascii="Times New Roman" w:hAnsi="Times New Roman"/>
          <w:b/>
          <w:sz w:val="28"/>
          <w:szCs w:val="28"/>
        </w:rPr>
        <w:t>30</w:t>
      </w:r>
      <w:r w:rsidRPr="0079459F">
        <w:rPr>
          <w:rFonts w:ascii="Times New Roman" w:hAnsi="Times New Roman"/>
          <w:sz w:val="28"/>
          <w:szCs w:val="28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Азии. В свою очередь расширилась география поездок белорусских парламентариев </w:t>
      </w:r>
      <w:r w:rsidRPr="0079459F">
        <w:rPr>
          <w:rFonts w:ascii="Times New Roman" w:hAnsi="Times New Roman"/>
          <w:i/>
          <w:sz w:val="28"/>
          <w:szCs w:val="28"/>
        </w:rPr>
        <w:t xml:space="preserve">(их принимали более чем в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40 </w:t>
      </w:r>
      <w:r w:rsidRPr="0079459F">
        <w:rPr>
          <w:rFonts w:ascii="Times New Roman" w:hAnsi="Times New Roman"/>
          <w:i/>
          <w:sz w:val="28"/>
          <w:szCs w:val="28"/>
        </w:rPr>
        <w:t>странах)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79459F">
        <w:rPr>
          <w:rFonts w:ascii="Times New Roman" w:hAnsi="Times New Roman"/>
          <w:b/>
          <w:sz w:val="28"/>
          <w:szCs w:val="28"/>
        </w:rPr>
        <w:t>продвижение интересов Республики Беларусь</w:t>
      </w:r>
      <w:r w:rsidRPr="0079459F">
        <w:rPr>
          <w:rFonts w:ascii="Times New Roman" w:hAnsi="Times New Roman"/>
          <w:sz w:val="28"/>
          <w:szCs w:val="28"/>
        </w:rPr>
        <w:t xml:space="preserve"> за рубежом </w:t>
      </w:r>
      <w:r w:rsidRPr="0079459F">
        <w:rPr>
          <w:rFonts w:ascii="Times New Roman" w:hAnsi="Times New Roman"/>
          <w:b/>
          <w:sz w:val="28"/>
          <w:szCs w:val="28"/>
        </w:rPr>
        <w:t>в торгово-экономической, инвестиционной, образовательной, культурной, туристической и других областях</w:t>
      </w:r>
      <w:r w:rsidRPr="0079459F">
        <w:rPr>
          <w:rFonts w:ascii="Times New Roman" w:hAnsi="Times New Roman"/>
          <w:sz w:val="28"/>
          <w:szCs w:val="28"/>
        </w:rPr>
        <w:t>.</w:t>
      </w:r>
      <w:proofErr w:type="gramEnd"/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9459F">
        <w:rPr>
          <w:rFonts w:ascii="Times New Roman" w:hAnsi="Times New Roman"/>
          <w:sz w:val="28"/>
          <w:szCs w:val="28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  <w:lang w:val="be-BY"/>
        </w:rPr>
        <w:t>работа в международных парламентских организациях</w:t>
      </w:r>
      <w:r w:rsidRPr="0079459F">
        <w:rPr>
          <w:rFonts w:ascii="Times New Roman" w:hAnsi="Times New Roman"/>
          <w:sz w:val="28"/>
          <w:szCs w:val="28"/>
          <w:lang w:val="be-BY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Традиционно особое внимание уделяется </w:t>
      </w:r>
      <w:r w:rsidRPr="0079459F">
        <w:rPr>
          <w:rFonts w:ascii="Times New Roman" w:hAnsi="Times New Roman"/>
          <w:b/>
          <w:sz w:val="28"/>
          <w:szCs w:val="28"/>
        </w:rPr>
        <w:t>сотрудничеству в рамках интеграционных образований</w:t>
      </w:r>
      <w:r w:rsidRPr="0079459F">
        <w:rPr>
          <w:rFonts w:ascii="Times New Roman" w:hAnsi="Times New Roman"/>
          <w:sz w:val="28"/>
          <w:szCs w:val="28"/>
        </w:rPr>
        <w:t xml:space="preserve">, </w:t>
      </w:r>
      <w:r w:rsidRPr="0079459F">
        <w:rPr>
          <w:rFonts w:ascii="Times New Roman" w:hAnsi="Times New Roman"/>
          <w:b/>
          <w:sz w:val="28"/>
          <w:szCs w:val="28"/>
        </w:rPr>
        <w:t>созданных на постсоветском пространстве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В центре </w:t>
      </w:r>
      <w:proofErr w:type="gramStart"/>
      <w:r w:rsidRPr="0079459F">
        <w:rPr>
          <w:rFonts w:ascii="Times New Roman" w:hAnsi="Times New Roman"/>
          <w:sz w:val="28"/>
          <w:szCs w:val="28"/>
        </w:rPr>
        <w:t>внимания сессий Парламентского Собрания Союза Беларуси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2018–2022 годы, а также бюджетные вопросы.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зоне повышенного внимания находится работа делегаций Национального собрания Республики Беларусь в Межпарламентской Ассамблее государств – участников СНГ (далее – МПА СНГ) и Парламентской Ассамблее Организации Договора о коллективной безопасности (далее ПА ОДКБ).</w:t>
      </w:r>
    </w:p>
    <w:p w:rsidR="0035362C" w:rsidRPr="0079459F" w:rsidRDefault="0035362C" w:rsidP="0035362C">
      <w:pPr>
        <w:pStyle w:val="20"/>
        <w:shd w:val="clear" w:color="auto" w:fill="auto"/>
        <w:spacing w:before="0"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26-я ежегодная сессия ПА ОБСЕ была проведена в г</w:t>
      </w:r>
      <w:proofErr w:type="gramStart"/>
      <w:r w:rsidRPr="0079459F">
        <w:rPr>
          <w:rFonts w:ascii="Times New Roman" w:hAnsi="Times New Roman"/>
          <w:b/>
          <w:spacing w:val="-6"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b/>
          <w:spacing w:val="-6"/>
          <w:sz w:val="28"/>
          <w:szCs w:val="28"/>
        </w:rPr>
        <w:t>инске (июль 2017 г.).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Благодаря работе белорусских парламентариев на международной арене,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наша страна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укрепила свои позиции в ПА ОБСЕ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 xml:space="preserve"> (депутаты Палаты представителей подготовили три резолюции, которые были приняты ПА ОБСЕ)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35362C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Парламентские выборы-2019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Выборы депутатов Палаты представителей проводятся по одномандатным избирательным округам. </w:t>
      </w:r>
      <w:r w:rsidRPr="0079459F">
        <w:rPr>
          <w:rFonts w:ascii="Times New Roman" w:hAnsi="Times New Roman"/>
          <w:b/>
          <w:sz w:val="28"/>
          <w:szCs w:val="28"/>
        </w:rPr>
        <w:t>От каждого избирательного округа избирается один депутат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35362C" w:rsidRPr="0079459F" w:rsidRDefault="0035362C" w:rsidP="0035362C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региональном разрезе избирательные округа выглядят следующим образом: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35362C" w:rsidRPr="0079459F" w:rsidRDefault="0035362C" w:rsidP="0035362C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 w:rsidRPr="0079459F">
        <w:rPr>
          <w:rFonts w:ascii="Times New Roman" w:hAnsi="Times New Roman"/>
          <w:i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Гражданин может выдвигаться кандидатом в депутаты </w:t>
      </w:r>
      <w:r w:rsidRPr="0079459F">
        <w:rPr>
          <w:rFonts w:ascii="Times New Roman" w:hAnsi="Times New Roman"/>
          <w:b/>
          <w:sz w:val="28"/>
          <w:szCs w:val="28"/>
        </w:rPr>
        <w:t>только по одному</w:t>
      </w:r>
      <w:r w:rsidRPr="0079459F">
        <w:rPr>
          <w:rFonts w:ascii="Times New Roman" w:hAnsi="Times New Roman"/>
          <w:sz w:val="28"/>
          <w:szCs w:val="28"/>
        </w:rPr>
        <w:t xml:space="preserve"> избирательному округу. </w:t>
      </w:r>
      <w:r w:rsidRPr="0079459F">
        <w:rPr>
          <w:rFonts w:ascii="Times New Roman" w:hAnsi="Times New Roman"/>
          <w:b/>
          <w:sz w:val="28"/>
          <w:szCs w:val="28"/>
        </w:rPr>
        <w:t>Право выдвижения кандидатов</w:t>
      </w:r>
      <w:r w:rsidRPr="0079459F">
        <w:rPr>
          <w:rFonts w:ascii="Times New Roman" w:hAnsi="Times New Roman"/>
          <w:sz w:val="28"/>
          <w:szCs w:val="28"/>
        </w:rPr>
        <w:t xml:space="preserve"> в депутаты Палаты представителей </w:t>
      </w:r>
      <w:r w:rsidRPr="0079459F">
        <w:rPr>
          <w:rFonts w:ascii="Times New Roman" w:hAnsi="Times New Roman"/>
          <w:b/>
          <w:sz w:val="28"/>
          <w:szCs w:val="28"/>
        </w:rPr>
        <w:t>принадлежит трем субъектам.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Выдвижение кандидатов в депутаты Палаты представителей</w:t>
      </w:r>
      <w:r w:rsidRPr="0079459F">
        <w:rPr>
          <w:rFonts w:ascii="Times New Roman" w:hAnsi="Times New Roman"/>
          <w:b/>
          <w:sz w:val="28"/>
          <w:szCs w:val="28"/>
        </w:rPr>
        <w:t xml:space="preserve"> от политических партий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 w:rsidRPr="0079459F">
        <w:rPr>
          <w:rFonts w:ascii="Times New Roman" w:hAnsi="Times New Roman"/>
          <w:b/>
          <w:sz w:val="28"/>
          <w:szCs w:val="28"/>
        </w:rPr>
        <w:t>от трудовых коллективов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на собраниях (конференциях) избирателей в трудовых коллективах.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Выдвижение кандидата </w:t>
      </w:r>
      <w:r w:rsidRPr="0079459F">
        <w:rPr>
          <w:rFonts w:ascii="Times New Roman" w:hAnsi="Times New Roman"/>
          <w:b/>
          <w:sz w:val="28"/>
          <w:szCs w:val="28"/>
        </w:rPr>
        <w:t>путем сбора подписей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инициативной группой </w:t>
      </w:r>
      <w:r w:rsidRPr="0079459F">
        <w:rPr>
          <w:rFonts w:ascii="Times New Roman" w:hAnsi="Times New Roman"/>
          <w:i/>
          <w:sz w:val="28"/>
          <w:szCs w:val="28"/>
        </w:rPr>
        <w:t>(в количестве не менее 10 человек)</w:t>
      </w:r>
      <w:r w:rsidRPr="0079459F">
        <w:rPr>
          <w:rFonts w:ascii="Times New Roman" w:hAnsi="Times New Roman"/>
          <w:sz w:val="28"/>
          <w:szCs w:val="28"/>
        </w:rPr>
        <w:t>. Такого кандидата должны поддержать не менее 1000 избирателей, проживающих в избирательном округе.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 w:rsidRPr="0079459F">
        <w:rPr>
          <w:rFonts w:ascii="Times New Roman" w:hAnsi="Times New Roman"/>
          <w:i/>
          <w:sz w:val="28"/>
          <w:szCs w:val="28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4" w:history="1">
        <w:r w:rsidRPr="0079459F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http://www.rec.gov.by/</w:t>
        </w:r>
      </w:hyperlink>
      <w:r w:rsidRPr="0079459F">
        <w:rPr>
          <w:rFonts w:ascii="Times New Roman" w:hAnsi="Times New Roman"/>
          <w:i/>
          <w:sz w:val="28"/>
          <w:szCs w:val="28"/>
        </w:rPr>
        <w:t>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79459F">
        <w:rPr>
          <w:rFonts w:ascii="Times New Roman" w:hAnsi="Times New Roman"/>
          <w:b/>
          <w:sz w:val="28"/>
          <w:szCs w:val="28"/>
        </w:rPr>
        <w:t>три основные формы предвыборной агитации</w:t>
      </w:r>
      <w:r w:rsidRPr="0079459F">
        <w:rPr>
          <w:rFonts w:ascii="Times New Roman" w:hAnsi="Times New Roman"/>
          <w:sz w:val="28"/>
          <w:szCs w:val="28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Кандидаты в депутаты и их доверенные лица в целях осуществления предвыборной агитации могут </w:t>
      </w:r>
      <w:r w:rsidRPr="0079459F">
        <w:rPr>
          <w:rFonts w:ascii="Times New Roman" w:hAnsi="Times New Roman"/>
          <w:b/>
          <w:sz w:val="28"/>
          <w:szCs w:val="28"/>
        </w:rPr>
        <w:t>проводить массовые мероприятия</w:t>
      </w:r>
      <w:r w:rsidRPr="0079459F">
        <w:rPr>
          <w:rFonts w:ascii="Times New Roman" w:hAnsi="Times New Roman"/>
          <w:sz w:val="28"/>
          <w:szCs w:val="28"/>
        </w:rPr>
        <w:t xml:space="preserve"> (собрания вне помещений, митинги, пикетирование) </w:t>
      </w:r>
      <w:r w:rsidRPr="0079459F">
        <w:rPr>
          <w:rFonts w:ascii="Times New Roman" w:hAnsi="Times New Roman"/>
          <w:b/>
          <w:sz w:val="28"/>
          <w:szCs w:val="28"/>
        </w:rPr>
        <w:t>в уведомительном порядке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Расходы по подготовке и проведению выборов</w:t>
      </w:r>
      <w:r w:rsidRPr="0079459F">
        <w:rPr>
          <w:rFonts w:ascii="Times New Roman" w:hAnsi="Times New Roman"/>
          <w:sz w:val="28"/>
          <w:szCs w:val="28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 w:rsidRPr="0079459F">
        <w:rPr>
          <w:rFonts w:ascii="Times New Roman" w:hAnsi="Times New Roman"/>
          <w:b/>
          <w:sz w:val="28"/>
          <w:szCs w:val="28"/>
        </w:rPr>
        <w:t>внебюджетный фонд, создаваемый Центральной комиссией</w:t>
      </w:r>
      <w:r w:rsidRPr="0079459F">
        <w:rPr>
          <w:rFonts w:ascii="Times New Roman" w:hAnsi="Times New Roman"/>
          <w:sz w:val="28"/>
          <w:szCs w:val="28"/>
        </w:rPr>
        <w:t xml:space="preserve"> для дополнительного финансирования расходов. Кандидаты в депутаты вправе создавать </w:t>
      </w:r>
      <w:r w:rsidRPr="0079459F">
        <w:rPr>
          <w:rFonts w:ascii="Times New Roman" w:hAnsi="Times New Roman"/>
          <w:b/>
          <w:sz w:val="28"/>
          <w:szCs w:val="28"/>
        </w:rPr>
        <w:t>собственные избирательные фонды</w:t>
      </w:r>
      <w:r w:rsidRPr="0079459F">
        <w:rPr>
          <w:rFonts w:ascii="Times New Roman" w:hAnsi="Times New Roman"/>
          <w:sz w:val="28"/>
          <w:szCs w:val="28"/>
        </w:rPr>
        <w:t xml:space="preserve"> для финансирования расходов по предвыборной агитации. </w:t>
      </w:r>
    </w:p>
    <w:p w:rsidR="0035362C" w:rsidRDefault="0035362C" w:rsidP="0035362C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5362C" w:rsidRDefault="0035362C" w:rsidP="0035362C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5362C" w:rsidRPr="0079459F" w:rsidRDefault="0035362C" w:rsidP="0035362C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Справочно.</w:t>
      </w:r>
    </w:p>
    <w:p w:rsidR="0035362C" w:rsidRPr="0079459F" w:rsidRDefault="0035362C" w:rsidP="0035362C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рублей). </w:t>
      </w:r>
      <w:r w:rsidRPr="0079459F">
        <w:rPr>
          <w:rFonts w:ascii="Times New Roman" w:hAnsi="Times New Roman"/>
          <w:i/>
          <w:sz w:val="28"/>
          <w:szCs w:val="28"/>
        </w:rPr>
        <w:t xml:space="preserve">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рубля), юрлица – до 10 базовых величин (до 255 рублей). В этом году средства в избирательные фонды кандидатов в депутаты можно перечислять через интернет-банкинг.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Важной стадией кампании по выборам депутатов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</w:rPr>
        <w:t>голосование и подсчет голосов избирателей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459F">
        <w:rPr>
          <w:rFonts w:ascii="Times New Roman" w:hAnsi="Times New Roman"/>
          <w:sz w:val="28"/>
          <w:szCs w:val="28"/>
        </w:rPr>
        <w:t xml:space="preserve">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79459F">
        <w:rPr>
          <w:rFonts w:ascii="Times New Roman" w:hAnsi="Times New Roman"/>
          <w:b/>
          <w:sz w:val="28"/>
          <w:szCs w:val="28"/>
        </w:rPr>
        <w:t>досрочное голосование в течение пяти дней до выборов</w:t>
      </w:r>
      <w:r w:rsidRPr="0079459F">
        <w:rPr>
          <w:rFonts w:ascii="Times New Roman" w:hAnsi="Times New Roman"/>
          <w:sz w:val="28"/>
          <w:szCs w:val="28"/>
        </w:rPr>
        <w:t xml:space="preserve">, а также </w:t>
      </w:r>
      <w:r w:rsidRPr="0079459F">
        <w:rPr>
          <w:rFonts w:ascii="Times New Roman" w:hAnsi="Times New Roman"/>
          <w:b/>
          <w:sz w:val="28"/>
          <w:szCs w:val="28"/>
        </w:rPr>
        <w:t>голосование по месту нахождения граждан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z w:val="28"/>
          <w:szCs w:val="28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79459F">
        <w:rPr>
          <w:rFonts w:ascii="Times New Roman" w:hAnsi="Times New Roman"/>
          <w:sz w:val="28"/>
          <w:szCs w:val="28"/>
        </w:rPr>
        <w:t>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35362C" w:rsidRPr="0079459F" w:rsidRDefault="0035362C" w:rsidP="0035362C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Значимость участия граждан в избирательной кампании.</w:t>
      </w:r>
      <w:r w:rsidRPr="0079459F">
        <w:rPr>
          <w:rFonts w:ascii="Times New Roman" w:hAnsi="Times New Roman"/>
          <w:sz w:val="28"/>
          <w:szCs w:val="28"/>
        </w:rPr>
        <w:t xml:space="preserve"> Выборы являются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частью механизма, позволяющего улучшить жизнь людей. Поэтому можно выделить ряд причин, почему важно идти на участки для голосования.</w:t>
      </w:r>
    </w:p>
    <w:p w:rsidR="0035362C" w:rsidRPr="0079459F" w:rsidRDefault="0035362C" w:rsidP="0035362C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</w:rPr>
        <w:t>Во-первых, право избирать и быть избранным</w:t>
      </w:r>
      <w:r w:rsidRPr="0079459F">
        <w:rPr>
          <w:rFonts w:ascii="Times New Roman" w:hAnsi="Times New Roman"/>
          <w:b/>
          <w:sz w:val="28"/>
          <w:szCs w:val="28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 xml:space="preserve">закреплено в Конституции Республики Беларусь (статья 38).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право дает возможность каждому гражданину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участвовать в процессе управления государством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оказывать влияние на власть. </w:t>
      </w:r>
    </w:p>
    <w:p w:rsidR="0035362C" w:rsidRPr="0079459F" w:rsidRDefault="0035362C" w:rsidP="0035362C">
      <w:pPr>
        <w:spacing w:after="0" w:line="230" w:lineRule="auto"/>
        <w:ind w:firstLine="709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79459F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Во-вторых,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избирательное право, граждане делегируют народному избраннику полномочия по решению важных государственных вопросов, тем самым демонстрируя свое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доверие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362C" w:rsidRPr="0079459F" w:rsidRDefault="0035362C" w:rsidP="0035362C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В-третьих, участие в выборах говорит о наличии настоящей, а не декларативной,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позиции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, которая достойна уважения.</w:t>
      </w:r>
    </w:p>
    <w:p w:rsidR="0035362C" w:rsidRPr="0079459F" w:rsidRDefault="0035362C" w:rsidP="0035362C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Четвертая причина –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</w:t>
      </w:r>
      <w:proofErr w:type="gramStart"/>
      <w:r w:rsidRPr="0079459F">
        <w:rPr>
          <w:rFonts w:ascii="Times New Roman" w:hAnsi="Times New Roman"/>
          <w:sz w:val="28"/>
          <w:szCs w:val="28"/>
          <w:shd w:val="clear" w:color="auto" w:fill="FFFFFF"/>
        </w:rPr>
        <w:t>дальнейшем</w:t>
      </w:r>
      <w:proofErr w:type="gramEnd"/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как в республике, так и в отдельно взятом населенном пункте в ближайшие несколько лет.</w:t>
      </w:r>
    </w:p>
    <w:p w:rsidR="0035362C" w:rsidRPr="0079459F" w:rsidRDefault="0035362C" w:rsidP="0035362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35362C" w:rsidRPr="0079459F" w:rsidRDefault="0035362C" w:rsidP="0035362C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79459F">
        <w:rPr>
          <w:i/>
          <w:sz w:val="28"/>
          <w:szCs w:val="28"/>
        </w:rPr>
        <w:t>. 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35362C" w:rsidRPr="0079459F" w:rsidRDefault="0035362C" w:rsidP="0035362C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</w:rPr>
        <w:lastRenderedPageBreak/>
        <w:t xml:space="preserve">Телекомпании будут транслировать выступления кандидатов с субтитрами для слабослышащих избирателей или сурдопереводом. Как и ранее, обязательно будут предусматриваться трафареты для самостоятельного голосования слепых граждан, а также предоставляться лупы </w:t>
      </w:r>
      <w:proofErr w:type="gramStart"/>
      <w:r w:rsidRPr="0079459F">
        <w:rPr>
          <w:i/>
          <w:sz w:val="28"/>
          <w:szCs w:val="28"/>
        </w:rPr>
        <w:t>для</w:t>
      </w:r>
      <w:proofErr w:type="gramEnd"/>
      <w:r w:rsidRPr="0079459F">
        <w:rPr>
          <w:i/>
          <w:sz w:val="28"/>
          <w:szCs w:val="28"/>
        </w:rPr>
        <w:t xml:space="preserve"> слабовидящих.</w:t>
      </w:r>
    </w:p>
    <w:p w:rsidR="0035362C" w:rsidRPr="0079459F" w:rsidRDefault="0035362C" w:rsidP="0035362C">
      <w:pPr>
        <w:pStyle w:val="a6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  <w:shd w:val="clear" w:color="auto" w:fill="FFFFFF"/>
        </w:rP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35362C" w:rsidRPr="0079459F" w:rsidRDefault="0035362C" w:rsidP="0035362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35362C" w:rsidRPr="0079459F" w:rsidRDefault="0035362C" w:rsidP="0035362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35362C" w:rsidRPr="0079459F" w:rsidRDefault="0035362C" w:rsidP="0035362C">
      <w:pPr>
        <w:spacing w:after="0" w:line="235" w:lineRule="auto"/>
        <w:ind w:firstLine="709"/>
        <w:jc w:val="center"/>
        <w:rPr>
          <w:sz w:val="28"/>
          <w:szCs w:val="28"/>
        </w:rPr>
      </w:pPr>
      <w:r w:rsidRPr="0079459F">
        <w:rPr>
          <w:sz w:val="28"/>
          <w:szCs w:val="28"/>
        </w:rPr>
        <w:t>*****</w:t>
      </w:r>
    </w:p>
    <w:p w:rsidR="0035362C" w:rsidRPr="0079459F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 xml:space="preserve"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</w:t>
      </w:r>
      <w:proofErr w:type="gramStart"/>
      <w:r w:rsidRPr="0079459F">
        <w:rPr>
          <w:rFonts w:ascii="Times New Roman" w:hAnsi="Times New Roman"/>
          <w:color w:val="000000"/>
          <w:sz w:val="28"/>
          <w:szCs w:val="28"/>
        </w:rPr>
        <w:t>зависит</w:t>
      </w:r>
      <w:proofErr w:type="gramEnd"/>
      <w:r w:rsidRPr="0079459F">
        <w:rPr>
          <w:rFonts w:ascii="Times New Roman" w:hAnsi="Times New Roman"/>
          <w:color w:val="000000"/>
          <w:sz w:val="28"/>
          <w:szCs w:val="28"/>
        </w:rPr>
        <w:t xml:space="preserve"> в каком направлении будет развиваться Беларусь.</w:t>
      </w:r>
    </w:p>
    <w:p w:rsidR="0035362C" w:rsidRPr="0079459F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 xml:space="preserve">Не случайно 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предстоящие выборы Президент Республики Беларусь А.Г.Лукашенко назвал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9459F">
        <w:rPr>
          <w:rFonts w:ascii="Times New Roman" w:hAnsi="Times New Roman"/>
          <w:color w:val="000000"/>
          <w:sz w:val="28"/>
          <w:szCs w:val="28"/>
        </w:rPr>
        <w:t>.</w:t>
      </w:r>
    </w:p>
    <w:p w:rsidR="0035362C" w:rsidRPr="0079459F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</w:t>
      </w:r>
      <w:proofErr w:type="gramStart"/>
      <w:r w:rsidRPr="0079459F">
        <w:rPr>
          <w:rFonts w:ascii="Times New Roman" w:hAnsi="Times New Roman"/>
          <w:i/>
          <w:sz w:val="28"/>
          <w:szCs w:val="28"/>
          <w:lang w:eastAsia="ru-RU"/>
        </w:rPr>
        <w:t>при</w:t>
      </w:r>
      <w:proofErr w:type="gramEnd"/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9459F">
        <w:rPr>
          <w:rFonts w:ascii="Times New Roman" w:hAnsi="Times New Roman"/>
          <w:i/>
          <w:sz w:val="28"/>
          <w:szCs w:val="28"/>
          <w:lang w:eastAsia="ru-RU"/>
        </w:rPr>
        <w:t>Президенте</w:t>
      </w:r>
      <w:proofErr w:type="gramEnd"/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 Республики Беларусь 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Палаты представителей и Совета 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Национального собрания Республики Беларусь,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Национального центра законодательства и 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правовых исследований Республики Беларусь, 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Белорусского института стратегических исследований</w:t>
      </w: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Pr="0079459F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 xml:space="preserve">О ПРИНИМАЕМЫХ МЕРАХ ПО  СОЦИАЛЬНО-ЭКОНОМИЧЕСКОМУ РАЗВИТИЮ МОГИЛЕВСКОЙ ОБЛАСТИ </w:t>
      </w:r>
    </w:p>
    <w:p w:rsidR="0035362C" w:rsidRPr="0079459F" w:rsidRDefault="0035362C" w:rsidP="0035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62C" w:rsidRPr="0079459F" w:rsidRDefault="0035362C" w:rsidP="0035362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Главной темой в государственной политике Республики Беларусь всегда остается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оставаться забота о человеке.</w:t>
      </w:r>
      <w:r w:rsidRPr="0079459F">
        <w:rPr>
          <w:rFonts w:ascii="Times New Roman" w:hAnsi="Times New Roman"/>
          <w:sz w:val="28"/>
          <w:szCs w:val="28"/>
        </w:rPr>
        <w:t xml:space="preserve"> Для населения  важны результаты. 2019 год – год начала важнейших для будущего Беларуси избирательных кампаний.  Люди должны почувствовать реальное улучшение ситуации в экономике, увидеть, что могут зарабатывать больше, и на этой основе обеспечить себе достойное качество жизни... 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текущем году наша страна вступает в очередную  избирательную кампанию по выборам в Совет Республики и Палату представителей Национального собрания Республики Беларусь 7-го созыва. Они пройдут соответственно 7 и 17 ноября 2019 года.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Предыдущая избирательная кампания такого уровня  проводилась в 2016 году. Этот период не прошел для нашей страны, и в особенности для нашей области незаметно, мы достигли определенных успехов в различных сферах. Руководством Могилевской области создаются достойные условия для полноценной и комфортной жизни граждан. Вводятся в эксплуатацию новые социально-значимые объекты. Наука не стоит на месте. Охрана здоровья является одним из основных приоритетов в работе исполнительной власти области: из года в год растут расходы бюджета на реализацию проектов в области социальной инфраструктуры, планомерно реализуются государственные и региональные программы развития всех отраслей народного хозяйства.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Экономика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За период с 2016 года по январь-август 2019 г. в области уже обеспечено выполнение таких основных показателей социально-экономического развития как: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привлечение прямых иностранных инвестиций на чистой основе;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товаров;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услуг.</w:t>
      </w:r>
    </w:p>
    <w:p w:rsidR="0035362C" w:rsidRPr="0079459F" w:rsidRDefault="0035362C" w:rsidP="0035362C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  <w:lang w:eastAsia="ru-RU"/>
        </w:rPr>
        <w:t xml:space="preserve">Проводимая облисполкомом работа по созданию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благоприятных условий для привлечения инвестиций и повышения инвестиционной привлекательности </w:t>
      </w:r>
      <w:r w:rsidRPr="0079459F">
        <w:rPr>
          <w:rFonts w:ascii="Times New Roman" w:hAnsi="Times New Roman"/>
          <w:sz w:val="28"/>
          <w:szCs w:val="28"/>
          <w:lang w:eastAsia="ru-RU"/>
        </w:rPr>
        <w:t>области, продвижению ее положительного имиджа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позволила в период с 2016 года –1 полугодие 2019 г. привлечь в экономику Могилевской области 948,3 млн. долларов иностранных инвестиций, из них 645,3 млн. долларов, или 68 процентов, – это прямые инвестиции. Объем прямых иностранных инвестиций на чистой основе в целом по региону превысил 288 млн. долларов.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2016 года в области реализован (осуществлен ввод в эксплуатацию) ряд значимых для экономики региона инвестиционных проектов, в том числе: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«Реконструкция цеха по производству сухих кормов № 2 ОАО «Александрийское» (инвестор – ОАО «Александрийское», в рамках реализации инвестиционного проекта освоено инвестиций в сумме 21,1 млн. рублей, создано 28 рабочих мест);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«Комплексная модернизация процессов рафинации растительных масел в ОАО «БЗРМ» (инвестор – ОАО «Бобруйский завод растительных масел», в рамках реализации инвестиционного проекта освоено инвестиций в сумме 5,2 млн. рублей);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«Модернизация ОАО «Могилевлифтмаш» (инвестор – ОАО «Могилевлифтмаш», в рамках реализации инвестиционного проекта освоено инвестиций в сумме 10,1 млн. рублей);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«Модернизация производства стальных дверей» (инвестор – ЧПТУП «Стальная линия», в рамках реализации инвестиционного проекта освоено инвестиций в сумме 2,3 млн. рублей, создано 13 рабочих мест);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 ввод в эксплуатацию автоцентра полного цикла «Renault» в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. Могилеве» (инвестор – ООО «АПС Могилев плюс», в рамках реализации инвестиционного проекта освоено инвестиций в сумме 3,6 млн. рублей, создано 51 рабочее место);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мясожирового цеха ОАО «Бобруйский мясокомбинат» (инвестор – ОАО «Бобруйский мясокомбинат», в рамках реализации инвестиционного проекта освоено инвестиций в сумме 45,9 млн. рублей)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производственной базы с организацией производств по выпуску сухих строительных смесей, товарных бетонов и растворов, изготовлению железобетонных изделий, устройству дорожных покрытий из бетона в г. Чаусы Могилевской области» (инвесторы – ЧПУП «Барс-Инвест» и ООО «Бергауф Чаусы», в рамках реализации инвестиционного проекта освоено инвестиций в сумме 10,1 млн. рублей, создано 45 рабочих мест).</w:t>
      </w:r>
      <w:proofErr w:type="gramEnd"/>
    </w:p>
    <w:p w:rsidR="0035362C" w:rsidRPr="0079459F" w:rsidRDefault="0035362C" w:rsidP="003536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«Строительство административно-делового центра с паркингом и благоустройством прилегающей территории по ул. Лепешинского, 12 в </w:t>
      </w:r>
      <w:proofErr w:type="gramStart"/>
      <w:r w:rsidRPr="007945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</w:t>
      </w:r>
      <w:proofErr w:type="gramEnd"/>
      <w:r w:rsidRPr="007945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 Могилеве»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(инвестор – ООО «Шафаг 88», в рамках реализации инвестиционного проекта освоено инвестиций в сумме 36,9 млн. рублей, создано 626 рабочих мест).</w:t>
      </w:r>
    </w:p>
    <w:p w:rsidR="0035362C" w:rsidRPr="0079459F" w:rsidRDefault="0035362C" w:rsidP="003536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норм Декрета Президента Республики Беларусь от 6 августа 2009 г. № 10 «О создании дополнительных условий для осуществления инвестиций в Республике Беларусь» за период 2016 год - 8 месяцев 2019 г.</w:t>
      </w:r>
      <w:r w:rsidRPr="0079459F">
        <w:rPr>
          <w:rFonts w:ascii="Times New Roman" w:hAnsi="Times New Roman"/>
          <w:sz w:val="28"/>
          <w:szCs w:val="28"/>
        </w:rPr>
        <w:t xml:space="preserve"> Могилевским облисполкомом заключено 52 инвестиционных договора с общим объемом заявленных инвестиций 534,7 млн. рублей, предусматривающих создание 1336 новых рабочих мест.</w:t>
      </w:r>
      <w:proofErr w:type="gramEnd"/>
    </w:p>
    <w:p w:rsidR="0035362C" w:rsidRPr="0079459F" w:rsidRDefault="0035362C" w:rsidP="003536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Основными сферами являются создание объектов сельскохозяйственного производства (животноводство, производство овощей в закрытом грунте) и переработки сельскохозяйственной продукции, создание и модернизация литейных и металлообрабатывающих производств, производств легкой промышленности и машиностроения, строительство коммерческой недвижимости. Наиболее крупными из инвестиционных проектов, реализация которых началась в 2016-2019 годах, являются:</w:t>
      </w:r>
    </w:p>
    <w:p w:rsidR="0035362C" w:rsidRPr="0079459F" w:rsidRDefault="0035362C" w:rsidP="003536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создание объекта «Агропредприятие «Белдан» по производству зерна и датской беконной свинины мощностью 53 000 голов в год вблизи дер. Ветка </w:t>
      </w:r>
      <w:r w:rsidRPr="0079459F">
        <w:rPr>
          <w:rFonts w:ascii="Times New Roman" w:hAnsi="Times New Roman"/>
          <w:sz w:val="28"/>
          <w:szCs w:val="28"/>
        </w:rPr>
        <w:lastRenderedPageBreak/>
        <w:t>Белыничского района» (инвестор – ИООО «БОННЕТИ»), объем инвестиций – 66 млн. рублей, предусмотрено создание 48 рабочих мест;</w:t>
      </w:r>
    </w:p>
    <w:p w:rsidR="0035362C" w:rsidRPr="0079459F" w:rsidRDefault="0035362C" w:rsidP="003536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строительство свиноводческого комплекса проектной мощностью 24 000 голов в год ОАО «Могилевский мясокомбинат» в районе дер. Перегон Славгородского района, объем инвестиций – 46 млн. рублей, предусмотрено создание 57 рабочих мест;</w:t>
      </w:r>
    </w:p>
    <w:p w:rsidR="0035362C" w:rsidRPr="0079459F" w:rsidRDefault="0035362C" w:rsidP="003536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модернизация производства ОАО «Моготекс» в </w:t>
      </w:r>
      <w:proofErr w:type="gramStart"/>
      <w:r w:rsidRPr="0079459F">
        <w:rPr>
          <w:rFonts w:ascii="Times New Roman" w:hAnsi="Times New Roman"/>
          <w:sz w:val="28"/>
          <w:szCs w:val="28"/>
        </w:rPr>
        <w:t>г</w:t>
      </w:r>
      <w:proofErr w:type="gramEnd"/>
      <w:r w:rsidRPr="0079459F">
        <w:rPr>
          <w:rFonts w:ascii="Times New Roman" w:hAnsi="Times New Roman"/>
          <w:sz w:val="28"/>
          <w:szCs w:val="28"/>
        </w:rPr>
        <w:t>. Могилеве, объем инвестиций – 54 млн. рублей;</w:t>
      </w:r>
    </w:p>
    <w:p w:rsidR="0035362C" w:rsidRPr="0079459F" w:rsidRDefault="0035362C" w:rsidP="0035362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  <w:lang w:val="en-US"/>
        </w:rPr>
        <w:t>C</w:t>
      </w:r>
      <w:r w:rsidRPr="0079459F">
        <w:rPr>
          <w:rFonts w:ascii="Times New Roman" w:hAnsi="Times New Roman"/>
          <w:sz w:val="28"/>
          <w:szCs w:val="28"/>
        </w:rPr>
        <w:t xml:space="preserve"> 2016 года отмечается значительное оживление и во внешнеэкономической деятельности области.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</w:p>
    <w:p w:rsidR="0035362C" w:rsidRPr="0079459F" w:rsidRDefault="0035362C" w:rsidP="0035362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Объем экспорта увеличился в целом по области более чем в 1,1 раза (с 1,8 до 2,1 млрд. долларов), по организациям коммунальной и без ведомственной подчиненности – почти в 1,3 раза (с 0,9 млрд. долларов до 1,1 млрд. долларов). Увеличилось и количество субъектов хозяйствования, осуществляющих внешнеэкономическую деятельность – с 1340 до 1442, экспортные поставки – с 766 до 867.</w:t>
      </w:r>
    </w:p>
    <w:p w:rsidR="0035362C" w:rsidRPr="0079459F" w:rsidRDefault="0035362C" w:rsidP="0035362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 года в год увеличивается положительное сальдо внешней торговли. Если в 2016 году оно составляло 688,5 млн. долларов, то по итогам 2018 года уже 714,7 млн. долларов. </w:t>
      </w:r>
    </w:p>
    <w:p w:rsidR="0035362C" w:rsidRPr="0079459F" w:rsidRDefault="0035362C" w:rsidP="0035362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Такая тенденция обусловлена активным вовлечением организаций частной формы собственности во внешнеэкономическую деятельность, которые создают экспортоориентированные производства с привлечением иностранных инвестиций и выпускают продукцию с высокой добавленной стоимостью. </w:t>
      </w:r>
    </w:p>
    <w:p w:rsidR="0035362C" w:rsidRPr="0079459F" w:rsidRDefault="0035362C" w:rsidP="0035362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Сегодня удельный вес организаций частной формы собственности в общем объеме экспорта составляет 44,4% против 34,9% в 2016 году. 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У Могилевского облисполкома действует более 50 Соглашений о сотрудничестве с регионами зарубежных государств. Подписано более 25 документов о сотрудничестве с российскими регионами.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Заметно активизировалось сотрудничество с Китаем. Сегодня оно успешно осуществляется с пятью провинциями. За последние годы заключены Соглашения с провинциями Цзянсу, Шэньси и г</w:t>
      </w:r>
      <w:proofErr w:type="gramStart"/>
      <w:r w:rsidRPr="0079459F">
        <w:rPr>
          <w:rFonts w:ascii="Times New Roman" w:hAnsi="Times New Roman"/>
          <w:sz w:val="28"/>
          <w:szCs w:val="28"/>
        </w:rPr>
        <w:t>.Т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яньцзинь. 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внимание уделяется установлению сотрудничества со странами так называемой «дальней дуги». 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Появились партнеры в Бразилии (штат Сеара), Пакистане (провинция Пенджаб), ЮАР (провинция Мпумаланга), Румынии (уезд Клуж) и др. 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Расширилась география сотрудничества и со странами СНГ. Установлено сотрудничество с регионами Грузии, Кыргызстана, Узбекистана, Таджикистана. 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Расширяется география поставок продукции на экспорт. Могилевская область поддерживает торговые связи со 109 государствами мира. Продукция области экспортируются в 96 стран мира.</w:t>
      </w:r>
    </w:p>
    <w:p w:rsidR="0035362C" w:rsidRPr="0079459F" w:rsidRDefault="0035362C" w:rsidP="0035362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Этому способствует системная работа по развитию межрегионального сотрудничества, которая направлена на диверсификацию экспорта. 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В текущей пятилетке малый и средний бизнес занял в экономике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Могилевской области </w:t>
      </w: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устойчивое положение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и продолжает наращивать свои позиции.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На 1 января 2019 г. в области насчитывалось более 8,7 тысяч микр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, малых и средних организаций и 23,3 тысяч индивидуальных предпринимателей. 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Занятость населения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Важнейшую роль в реализации социальной политики играет обеспечение эффективной занятости населения. 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За  период с 2016 года в органы по труду, занятости и социальной защите горрайисполкомов за содействием в трудоустройстве обратилось более 120 тысяч граждан, зарегистрировано безработными свыше  77,5 тысяч человек.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содействии государственной службы занятости трудоустроено более 90 тысяч человек, в том числе почти 57 тысяч безработных.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последние годы спрос на рабочую силу растет. На одного безработного в среднем приходится более 5 вакансий. 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пройти профессиональную подготовку, переподготовку и повышение квалификации получили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более около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5 тысяч граждан.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воспользовались государственной поддержкой и получили субсидии для организации предпринимательской деятельности, услуг в сфере агроэкотуризма почти тысяча безработных. 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Незанятым гражданам, испытывающим трудности в поиске постоянной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работы, есть возможность временно трудоустроится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оплачиваемые общественные работы. Такой формой работы охвачено около 30 тысяч человек.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нашем обществе есть граждане, которые особо нуждаются в социальной защите и не способны на равных условиях конкурировать на рынке труда. Таким людям необходимо особое внимание. При содействии службы занятости с 2016 года трудоустроено почти полторы тысячи инвалидов, при необходимости  было организовано индивидуальное сопровождение инвалидов при их трудоустройстве.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17 тысяч учащихся и студентов в свободное от учебы время приобрели свой первый трудовой опыт, для них была организована временная трудовая занятость. 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области наблюдается устойчивая тенденция снижения уровня зарегистрированной безработицы, на 1 октября 2019 г. он составил 0,4%.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Заработная плата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лет в области отмечен поступательный рост заработной платы. В 2018 году по отношению к 2016 году увеличилась реальная заработная плата на 17,9%.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итогам января-августа 2019 года реальная заработная плата по области выросла к соответствующему периоду прошлого года на 5,7%. Заработная плата за август 2019 г. по области составила 934,6 рубля.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бюджетной сфере заработная плата за январь-август составила 87,6% от среднемесячной заработной платы по области в целом.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Пенсионное обеспечение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составляющих государственной социальной поддержки граждан является пенсионное обеспечение. 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пенсий в органах по труду, занятости и социальной защите Могилевской области получают 291тысяча человек или более 27 % от численности населения области.</w:t>
      </w:r>
    </w:p>
    <w:p w:rsidR="0035362C" w:rsidRPr="0079459F" w:rsidRDefault="0035362C" w:rsidP="0035362C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августа 2019 года  составляет 443,81 руб. и увеличился к январю 2019 г. на 13,6 %, к январю 2016 года - на 53,3 %.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Сфера жилищно-коммунального хозяйства.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Повышение эффективности и надежности работы жилищн</w:t>
      </w:r>
      <w:proofErr w:type="gramStart"/>
      <w:r w:rsidRPr="0079459F">
        <w:rPr>
          <w:rFonts w:ascii="Times New Roman" w:hAnsi="Times New Roman"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коммунального хозяйства, предоставление услуг надлежащего качества и в востребованных объемах при одновременном снижении затрат на их оказание - главная задача, стоящая перед предприятиями жилищно- коммунального хозяйства. 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ее решения разработан и реализуется региональный комплекс мероприятий по реализации в Могилевской области Государственной программы «Комфортное жилье и благоприятная среда» на 2016-2020 годы.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оценки эффективности реализации Государственной программы определен сводный целевой показатель - снижение затрат на оказание ЖКУ населению (в сопоставимых условиях) и целевые показатели подпрограмм по организациям, например: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1.</w:t>
      </w:r>
      <w:r w:rsidRPr="0079459F">
        <w:rPr>
          <w:rFonts w:ascii="Times New Roman" w:hAnsi="Times New Roman"/>
          <w:sz w:val="28"/>
          <w:szCs w:val="28"/>
        </w:rPr>
        <w:tab/>
        <w:t>ежегодное в 2017-2020 гг. снижение затрат на оказание ЖКУ населению (в сопоставимых условиях к уровню предыдущего года) не менее 5%;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в ходе работы, проводимой предприятиями жилищн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коммунального хозяйства области по снижению затрат, ежегодно выполняется задание по снижению затрат от оказания жилищно-коммунальных услуг населению в сопоставимых условиях в размере не менее 5% (2017 год - 5,3%, 2018 год - 5,24%, ожидаемый показатель за 9 месяцев 2019 года - 5,4%).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2.</w:t>
      </w:r>
      <w:r w:rsidRPr="0079459F">
        <w:rPr>
          <w:rFonts w:ascii="Times New Roman" w:hAnsi="Times New Roman"/>
          <w:sz w:val="28"/>
          <w:szCs w:val="28"/>
        </w:rPr>
        <w:tab/>
        <w:t>ежегодное уменьшение на 1,5% претензий на качество оказываемых ЖКУ к предыдущему году;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за 2017 год снижение претензий на качество оказываемых жилищн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коммунальных услуг к соответствующему периоду прошлого года составило 1%, ожидаемое снижение за январь-сентябрь 2019 года составит 8,4%.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3.</w:t>
      </w:r>
      <w:r w:rsidRPr="0079459F">
        <w:rPr>
          <w:rFonts w:ascii="Times New Roman" w:hAnsi="Times New Roman"/>
          <w:sz w:val="28"/>
          <w:szCs w:val="28"/>
        </w:rPr>
        <w:tab/>
        <w:t>ежегодная замена 4% тепловых сетей;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за период 2016 - 9 месяцев 2019 годов произведена замена 362,2 км тепловых сетей на Пи-трубы, что ежегодно составляет не менее 4% от их общей протяженности.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4.</w:t>
      </w:r>
      <w:r w:rsidRPr="0079459F">
        <w:rPr>
          <w:rFonts w:ascii="Times New Roman" w:hAnsi="Times New Roman"/>
          <w:sz w:val="28"/>
          <w:szCs w:val="28"/>
        </w:rPr>
        <w:tab/>
        <w:t>снижение потерь тепловой энергии собственного производства с 12% в 2016 г. до 10% в 2020 г.;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Справочно: потери тепловой энергии при ее транспортировке от 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собственных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теплоисточников за 2018 год снижены по отношению к 2016 году на 2,6 процентных пункта. За 9 месяцев текущего года уровень потерь ожидается на уровне 11 % при задании 11 %.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5.</w:t>
      </w:r>
      <w:r w:rsidRPr="0079459F">
        <w:rPr>
          <w:rFonts w:ascii="Times New Roman" w:hAnsi="Times New Roman"/>
          <w:sz w:val="28"/>
          <w:szCs w:val="28"/>
        </w:rPr>
        <w:tab/>
        <w:t>увеличение ввода общей площади жилых домов после капитального ремонта;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6.</w:t>
      </w:r>
      <w:r w:rsidRPr="0079459F">
        <w:rPr>
          <w:rFonts w:ascii="Times New Roman" w:hAnsi="Times New Roman"/>
          <w:sz w:val="28"/>
          <w:szCs w:val="28"/>
        </w:rPr>
        <w:tab/>
        <w:t>замена и модернизация лифтов, отработавших нормативные сроки эксплуатации;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в целях улучшения комфортности проживания граждан ежегодно выполняются работы по капитальному ремонту с вводом общей площади жилых домов после капитального ремонта и замене лифтов, отработавших нормативные сроки эксплуатации. За период 2016 - 9 месяцев 2019 года введено в эксплуатацию 1136,4 тыс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>2 площади жилых помещений после капитального ремонта, произведена замена и модернизация 836 лифтов, отработавших нормативные сроки эксплуатации.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7.</w:t>
      </w:r>
      <w:r w:rsidRPr="0079459F">
        <w:rPr>
          <w:rFonts w:ascii="Times New Roman" w:hAnsi="Times New Roman"/>
          <w:sz w:val="28"/>
          <w:szCs w:val="28"/>
        </w:rPr>
        <w:tab/>
        <w:t>обеспеченность к 2020 г. 100% потребителей водоснабжением питьевого качества;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обеспеченность потребителей водоснабжением питьевого качества увеличилась с 2016 года на 10,1 процентного пункта и составила за 9 месяцев 2019 года 90,3%.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увеличения процента охвата населения централизованным водоснабжением выполнены работы по реконструкции водопроводных сетей протяженностью 8679м, построена водопроводная сеть протяженностью 4673 м.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целях ликвидации аварийной обстановки и обеспечения устойчивого водоотведения проведены работы по реконструкции: очистных сооружений в д. Свадковичи Кричевского района, канализационного коллектора в </w:t>
      </w:r>
      <w:proofErr w:type="gramStart"/>
      <w:r w:rsidRPr="0079459F">
        <w:rPr>
          <w:rFonts w:ascii="Times New Roman" w:hAnsi="Times New Roman"/>
          <w:sz w:val="28"/>
          <w:szCs w:val="28"/>
        </w:rPr>
        <w:t>г</w:t>
      </w:r>
      <w:proofErr w:type="gramEnd"/>
      <w:r w:rsidRPr="0079459F">
        <w:rPr>
          <w:rFonts w:ascii="Times New Roman" w:hAnsi="Times New Roman"/>
          <w:sz w:val="28"/>
          <w:szCs w:val="28"/>
        </w:rPr>
        <w:t>. Быхове протяженностью 835 м, канализационного коллектора в г. Бобруйске протяженностью 1265 м.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обеспечения населения питьевой водой нормативного качества в 2017 году построены и сданы в эксплуатацию 6 станций обезжелезивания воды: в д. Красная Беларусь (Быховский), п. Вязье (Осиповичский), а/г Белая Дуброва (Костюковичский), а/г  Б. Мощаница (Белыничский), г</w:t>
      </w:r>
      <w:proofErr w:type="gramStart"/>
      <w:r w:rsidRPr="0079459F">
        <w:rPr>
          <w:rFonts w:ascii="Times New Roman" w:hAnsi="Times New Roman"/>
          <w:sz w:val="28"/>
          <w:szCs w:val="28"/>
        </w:rPr>
        <w:t>.Ч</w:t>
      </w:r>
      <w:proofErr w:type="gramEnd"/>
      <w:r w:rsidRPr="0079459F">
        <w:rPr>
          <w:rFonts w:ascii="Times New Roman" w:hAnsi="Times New Roman"/>
          <w:sz w:val="28"/>
          <w:szCs w:val="28"/>
        </w:rPr>
        <w:t>ерикове, г. Бобруйске (м-н Соломенка), в 2018 году - 3 станции обезжелезивания воды: г.Кричев, аг. Антоновка Чаусского района, в/</w:t>
      </w:r>
      <w:proofErr w:type="gramStart"/>
      <w:r w:rsidRPr="0079459F">
        <w:rPr>
          <w:rFonts w:ascii="Times New Roman" w:hAnsi="Times New Roman"/>
          <w:sz w:val="28"/>
          <w:szCs w:val="28"/>
        </w:rPr>
        <w:t>ч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Голынец Могилевского района.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первом полугодии текущего года построены и сданы в эксплуатацию 6 станций обезжелезивания воды в сельских населенных пунктах Могилевского района (Княжицы, Боброво-Прокшеничи, Щеглица, Горная Улица, Сташино, Заборье).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целях ликвидации аварийной обстановки и обеспечения устойчивого водоотведения проведены работы по реконструкции канализационного коллектора в </w:t>
      </w:r>
      <w:proofErr w:type="gramStart"/>
      <w:r w:rsidRPr="0079459F">
        <w:rPr>
          <w:rFonts w:ascii="Times New Roman" w:hAnsi="Times New Roman"/>
          <w:sz w:val="28"/>
          <w:szCs w:val="28"/>
        </w:rPr>
        <w:t>г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. Бобруйске протяженностью 265 м, очистных сооружений в г. </w:t>
      </w:r>
      <w:r w:rsidRPr="0079459F">
        <w:rPr>
          <w:rFonts w:ascii="Times New Roman" w:hAnsi="Times New Roman"/>
          <w:sz w:val="28"/>
          <w:szCs w:val="28"/>
        </w:rPr>
        <w:lastRenderedPageBreak/>
        <w:t xml:space="preserve">Быхове. Построен новый канализационный коллектор в </w:t>
      </w:r>
      <w:proofErr w:type="gramStart"/>
      <w:r w:rsidRPr="0079459F">
        <w:rPr>
          <w:rFonts w:ascii="Times New Roman" w:hAnsi="Times New Roman"/>
          <w:sz w:val="28"/>
          <w:szCs w:val="28"/>
        </w:rPr>
        <w:t>г</w:t>
      </w:r>
      <w:proofErr w:type="gramEnd"/>
      <w:r w:rsidRPr="0079459F">
        <w:rPr>
          <w:rFonts w:ascii="Times New Roman" w:hAnsi="Times New Roman"/>
          <w:sz w:val="28"/>
          <w:szCs w:val="28"/>
        </w:rPr>
        <w:t>. Могилеве - 1465 метров.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Архитектура и строительство. Транспорт</w:t>
      </w:r>
    </w:p>
    <w:tbl>
      <w:tblPr>
        <w:tblW w:w="11443" w:type="dxa"/>
        <w:tblInd w:w="108" w:type="dxa"/>
        <w:tblLook w:val="04A0"/>
      </w:tblPr>
      <w:tblGrid>
        <w:gridCol w:w="9639"/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35362C" w:rsidRPr="0079459F" w:rsidTr="001C1C4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в Могилевской области запланировано строительство жилья для 1 188 многодетных семей. </w:t>
            </w:r>
          </w:p>
          <w:p w:rsidR="0035362C" w:rsidRPr="0079459F" w:rsidRDefault="0035362C" w:rsidP="001C1C41">
            <w:pPr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январь-сентябрь 2019 года построено 998 квартир для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943 многодетных семей общей площадью 64,969 тыс. кв. метров или 79,4% от плана. </w:t>
            </w:r>
          </w:p>
          <w:p w:rsidR="0035362C" w:rsidRPr="0079459F" w:rsidRDefault="0035362C" w:rsidP="001C1C4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Справочно: </w:t>
            </w:r>
          </w:p>
          <w:p w:rsidR="0035362C" w:rsidRPr="0079459F" w:rsidRDefault="0035362C" w:rsidP="001C1C41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2016 году построено 462 квартиры для 407 многодетных семей общей площадью 30,574 тыс. кв. метров;</w:t>
            </w:r>
          </w:p>
          <w:p w:rsidR="0035362C" w:rsidRPr="0079459F" w:rsidRDefault="0035362C" w:rsidP="001C1C41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2017 году - 423 квартиры для 399 многодетных семей общей площадью 30,979 тыс. кв. метров;</w:t>
            </w:r>
          </w:p>
          <w:p w:rsidR="0035362C" w:rsidRPr="0079459F" w:rsidRDefault="0035362C" w:rsidP="001C1C41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2018 году – 1 091 квартира для 1 021 многодетной семьи общей площадью 70,791 тыс. кв. метров.</w:t>
            </w:r>
          </w:p>
          <w:p w:rsidR="0035362C" w:rsidRPr="0079459F" w:rsidRDefault="0035362C" w:rsidP="001C1C41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сохранении финансирования в рамках реализации Указа Президента Республики Беларусь от 04.07.2017 № 240, в 2020 году планируется строительство жилья для многодетных семей на уровне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2019 года. Что позволит обеспечить выполнение поручения Президента Республики Беларусь Лукашенко А.Г. и сократить к концу 2020 года срок нахождения многодетных семей в очереди нуждающихся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улучшении жилищных условий до одного года.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62C" w:rsidRPr="0079459F" w:rsidRDefault="0035362C" w:rsidP="0035362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Среднесписочная численность работников организаций с основным видом деятельности «Строительство» по состоянию на 1 сентября 2019 года составила 14 515 человек или 95,6% к аналогичному периоду прошлого года и (по состоянию на 01.09.2019 составляла 15 176  человек).</w:t>
      </w:r>
    </w:p>
    <w:p w:rsidR="0035362C" w:rsidRPr="0079459F" w:rsidRDefault="0035362C" w:rsidP="003536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За январь-август 2019 года уровень номинальной среднемесячной заработной платы по виду экономической деятельности «Строительство» нарастающим итогом составил 956,1 рублей.</w:t>
      </w:r>
    </w:p>
    <w:p w:rsidR="0035362C" w:rsidRPr="0079459F" w:rsidRDefault="0035362C" w:rsidP="003536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5362C" w:rsidRPr="0079459F" w:rsidRDefault="0035362C" w:rsidP="0035362C">
      <w:pPr>
        <w:widowControl w:val="0"/>
        <w:autoSpaceDE w:val="0"/>
        <w:autoSpaceDN w:val="0"/>
        <w:adjustRightInd w:val="0"/>
        <w:spacing w:after="0" w:line="280" w:lineRule="exact"/>
        <w:ind w:left="709" w:right="-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номинальная начисленная среднемесячная заработная плата работников по виду экономической деятельности «Строительство» за 2016 год составила 643,3 рубля, за 2017 год – 723,3 рубля, за 2018 год – 858,5 рублей. </w:t>
      </w:r>
    </w:p>
    <w:tbl>
      <w:tblPr>
        <w:tblW w:w="11830" w:type="dxa"/>
        <w:tblInd w:w="-34" w:type="dxa"/>
        <w:tblLook w:val="04A0"/>
      </w:tblPr>
      <w:tblGrid>
        <w:gridCol w:w="9923"/>
        <w:gridCol w:w="283"/>
        <w:gridCol w:w="236"/>
        <w:gridCol w:w="236"/>
        <w:gridCol w:w="236"/>
        <w:gridCol w:w="222"/>
        <w:gridCol w:w="236"/>
        <w:gridCol w:w="236"/>
        <w:gridCol w:w="222"/>
      </w:tblGrid>
      <w:tr w:rsidR="0035362C" w:rsidRPr="0079459F" w:rsidTr="001C1C41">
        <w:trPr>
          <w:trHeight w:val="7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Pr="0079459F" w:rsidRDefault="0035362C" w:rsidP="001C1C4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улучшения качества перевозок пассажиров в 2016-2019 гг. ОАО «Могилевоблавтотранс» за счет бюджетных и собственных сре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иобретено 128 автобусов и 9 троллейбусов на сумму 23,1 млн. рублей.</w:t>
            </w:r>
          </w:p>
          <w:p w:rsidR="0035362C" w:rsidRPr="0079459F" w:rsidRDefault="0035362C" w:rsidP="001C1C4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Агропромышленный комплекс </w:t>
            </w:r>
          </w:p>
          <w:p w:rsidR="0035362C" w:rsidRPr="0079459F" w:rsidRDefault="0035362C" w:rsidP="001C1C4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Могилевской области за последние 5 лет производство зерна, овощей, молока, яиц, выращивание скота и птицы превышало рекомендуемые нормы потребления, что свидетельствует о выполнении основной задачи, обеспечение граждан области продуктами питания, в полном объеме.</w:t>
            </w:r>
            <w:proofErr w:type="gramEnd"/>
          </w:p>
          <w:p w:rsidR="0035362C" w:rsidRPr="0079459F" w:rsidRDefault="0035362C" w:rsidP="001C1C4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последние 3 года в Могилевской области обеспечен рост объемов производства сахарной свеклы в 1,8 раза, рапса в 2,1 раза, льноволокна в 1,1 </w:t>
            </w: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раза.</w:t>
            </w:r>
          </w:p>
          <w:p w:rsidR="0035362C" w:rsidRPr="0079459F" w:rsidRDefault="0035362C" w:rsidP="001C1C4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целью 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наращивания объемов производства продукции сельского хозяйства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инициируется внедрение новых интенсивных технологий,  достижений науки и техники в области сельского хозяйства.</w:t>
            </w:r>
          </w:p>
          <w:p w:rsidR="0035362C" w:rsidRPr="0079459F" w:rsidRDefault="0035362C" w:rsidP="001C1C4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2016 год - 9 месяцев 2019 года в области введено в эксплуатацию 29 молочно-товарных ферм. В целях наращивания производства свинины и численности свинопоголовья осуществляется комплектация нового свиноводческого комплекса с законченным циклом производства в Белыничском районе, в текущем году ОАО «Могилевский мясокомбинат» введен в эксплуатацию новый свиноводческий комплекс в Славгородском районе. Это позволит обеспечить рост объемов товарной продукции, прибыли и рентабельности продаж.</w:t>
            </w:r>
          </w:p>
          <w:p w:rsidR="0035362C" w:rsidRPr="0079459F" w:rsidRDefault="0035362C" w:rsidP="001C1C4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Проводится обновление машинно-тракторного парка. За 9 месяцев 2019 года сельскохозяйственными организациями области приобретено 132 трактора, в том числе 45 энергонасыщенных, 42 зерн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30 кормоуборочных комбайнов, 66 косилок различных модификаций, 54 сеялки и 386 единиц прочей сельскохозяйственной техники и оборудования.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2C" w:rsidRPr="0079459F" w:rsidRDefault="0035362C" w:rsidP="001C1C41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62C" w:rsidRPr="0079459F" w:rsidRDefault="0035362C" w:rsidP="0035362C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Здравоохранение</w:t>
      </w:r>
    </w:p>
    <w:p w:rsidR="0035362C" w:rsidRPr="0079459F" w:rsidRDefault="0035362C" w:rsidP="0035362C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выполнены масштабные работы по строительству, модернизации, реконструкции и ремонту объектов здравоохранения.</w:t>
      </w:r>
    </w:p>
    <w:p w:rsidR="0035362C" w:rsidRPr="0079459F" w:rsidRDefault="0035362C" w:rsidP="0035362C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</w:t>
      </w:r>
      <w:proofErr w:type="gramStart"/>
      <w:r w:rsidRPr="0079459F">
        <w:rPr>
          <w:rFonts w:ascii="Times New Roman" w:hAnsi="Times New Roman"/>
          <w:sz w:val="28"/>
          <w:szCs w:val="28"/>
        </w:rPr>
        <w:t>г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. Могилеве. </w:t>
      </w:r>
      <w:proofErr w:type="gramStart"/>
      <w:r w:rsidRPr="0079459F">
        <w:rPr>
          <w:rFonts w:ascii="Times New Roman" w:hAnsi="Times New Roman"/>
          <w:sz w:val="28"/>
          <w:szCs w:val="28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>В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59F">
        <w:rPr>
          <w:rFonts w:ascii="Times New Roman" w:hAnsi="Times New Roman"/>
          <w:sz w:val="28"/>
          <w:szCs w:val="28"/>
        </w:rPr>
        <w:t>УЗ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В этом году открыт блок краткосрочного пребывания, оснащенный самым современным оборудованием и отделение пластической эстетической хирургии. Завершается реконструкция родильного дома больницы, который планируется открыть к 7 ноября. 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Могилевской городской больнице № 1 завершена реконструкция терапевтического и неврологического отделений, модернизировано рентгенотделение с установкой компьютерного томографа, открыт кабинет хронической боли.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 планах – строительство кардиохирургического корпуса в Могилевской областной больнице.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Образование</w:t>
      </w:r>
    </w:p>
    <w:p w:rsidR="0035362C" w:rsidRPr="0079459F" w:rsidRDefault="0035362C" w:rsidP="0035362C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Поэтапно укрепляется материально-техническая база и учреждений образования. </w:t>
      </w:r>
    </w:p>
    <w:p w:rsidR="0035362C" w:rsidRPr="0079459F" w:rsidRDefault="0035362C" w:rsidP="0035362C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 области построено три школы по 1020 мест в микрорайоне «Комсомольский»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Кричева, в микрорайоне «Западный» </w:t>
      </w:r>
    </w:p>
    <w:p w:rsidR="0035362C" w:rsidRPr="0079459F" w:rsidRDefault="0035362C" w:rsidP="0035362C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г. Бобруйска и микрорайоне «Казимировка» г. Могилева, детский сад на 240 мест в микрорайоне «Казимировка» г. Могилева.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Введено в эксплуатацию четыре жилых дома для семей, воспитывающих детей-сирот и детей, оставшихся без попечения родителей (в 2019 году будет построено еще два дома в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. Бобруйске и Осиповичском районе).</w:t>
      </w:r>
    </w:p>
    <w:p w:rsidR="0035362C" w:rsidRPr="0079459F" w:rsidRDefault="0035362C" w:rsidP="0035362C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Также в 2019 году планируется ввод в эксплуатацию детского сада на 40 мест в агрогородке Добрейка Шкловского района, завершение реконструкции со строительством пристройки на 50 мест к детскому саду в агрогородке Восход Могилевского района.</w:t>
      </w:r>
    </w:p>
    <w:p w:rsidR="0035362C" w:rsidRPr="0079459F" w:rsidRDefault="0035362C" w:rsidP="0035362C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2017 году выполнен капитальный ремонт на 3 объектах                 (СШ № 3 г. Климовичи, СШ № 2 г. Круглое – капремонт кровель), Межисетская СШ Могилевского района – замена оконных блоков) на общую сумму 877 357,40 рублей в эквиваленте 459 253,74 долларов США.</w:t>
      </w:r>
      <w:proofErr w:type="gramEnd"/>
    </w:p>
    <w:p w:rsidR="0035362C" w:rsidRPr="0079459F" w:rsidRDefault="0035362C" w:rsidP="0035362C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2019 году выполнены строительно-монтажные работы на 2 объектах (Муринборский УПК Д/сад-СШ Костюковичского района, гимназия г.п.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Глуска).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Завершаются работы на 3 объектах (Буйничская СШ, СШ № 4 г. Костюковичи, СШ № 2 г. Черикова).</w:t>
      </w:r>
    </w:p>
    <w:p w:rsidR="0035362C" w:rsidRPr="0079459F" w:rsidRDefault="0035362C" w:rsidP="0035362C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Всё это делается для того, чтобы юное поколение могло расти и развиваться в комфортных и безопасных условиях, получать знания, соответствующие современным требованиям.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Культура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Деятельность структурных подразделений исполнительных комитетов, осуществляющих государственно-властные полномочия в сфере культуры, и организаций культуры была направлена на развитие и эффективное использование культурного потенциала Могилевщины, повышение эффективности государственной политики в сфере культуры, выполнение поручений Президента Республики Беларусь, Совета Министров Республики Беларусь.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Период 2016 - 2019 гг. отмечен рядом ярких событий, проведенных во всех районах области.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Среди них, такие творческие проекты, как международные молодежный театральный форумы «M@rt.контакт» и «Традиционная культура, как стратегический ресурс устойчивого развития общества», фестивали анимационных фильмов «Анимаевка», народного творчества «Венок дружбы», духовной музыки «Магутны Божа», детского творчества «Золотая пчелка»,  республиканские фестиваль национальной драматургии им.В.И.Дунина-Марцинкевича и праздник «Купалье» («Александрия собирает друзей»), </w:t>
      </w:r>
      <w:r w:rsidRPr="0079459F">
        <w:rPr>
          <w:rFonts w:ascii="Times New Roman" w:hAnsi="Times New Roman"/>
          <w:sz w:val="28"/>
          <w:szCs w:val="28"/>
        </w:rPr>
        <w:lastRenderedPageBreak/>
        <w:t>межрегиональные этнопраздник «У гос</w:t>
      </w:r>
      <w:r w:rsidRPr="0079459F">
        <w:rPr>
          <w:rFonts w:ascii="Times New Roman" w:hAnsi="Times New Roman"/>
          <w:sz w:val="28"/>
          <w:szCs w:val="28"/>
          <w:lang w:val="be-BY"/>
        </w:rPr>
        <w:t>ці</w:t>
      </w:r>
      <w:r w:rsidRPr="0079459F">
        <w:rPr>
          <w:rFonts w:ascii="Times New Roman" w:hAnsi="Times New Roman"/>
          <w:sz w:val="28"/>
          <w:szCs w:val="28"/>
        </w:rPr>
        <w:t xml:space="preserve"> да</w:t>
      </w:r>
      <w:r w:rsidRPr="0079459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>радз</w:t>
      </w:r>
      <w:r w:rsidRPr="0079459F">
        <w:rPr>
          <w:rFonts w:ascii="Times New Roman" w:hAnsi="Times New Roman"/>
          <w:sz w:val="28"/>
          <w:szCs w:val="28"/>
          <w:lang w:val="be-BY"/>
        </w:rPr>
        <w:t>і</w:t>
      </w:r>
      <w:proofErr w:type="gramStart"/>
      <w:r w:rsidRPr="0079459F">
        <w:rPr>
          <w:rFonts w:ascii="Times New Roman" w:hAnsi="Times New Roman"/>
          <w:sz w:val="28"/>
          <w:szCs w:val="28"/>
          <w:lang w:val="be-BY"/>
        </w:rPr>
        <w:t>мі</w:t>
      </w:r>
      <w:r w:rsidRPr="0079459F">
        <w:rPr>
          <w:rFonts w:ascii="Times New Roman" w:hAnsi="Times New Roman"/>
          <w:sz w:val="28"/>
          <w:szCs w:val="28"/>
        </w:rPr>
        <w:t>ча</w:t>
      </w:r>
      <w:proofErr w:type="gramEnd"/>
      <w:r w:rsidRPr="0079459F">
        <w:rPr>
          <w:rFonts w:ascii="Times New Roman" w:hAnsi="Times New Roman"/>
          <w:sz w:val="28"/>
          <w:szCs w:val="28"/>
          <w:lang w:val="be-BY"/>
        </w:rPr>
        <w:t>ў</w:t>
      </w:r>
      <w:r w:rsidRPr="0079459F">
        <w:rPr>
          <w:rFonts w:ascii="Times New Roman" w:hAnsi="Times New Roman"/>
          <w:sz w:val="28"/>
          <w:szCs w:val="28"/>
        </w:rPr>
        <w:t>», фестиваль любительских театров «Тэатральныя вечарыны», праздник - конкурс «Зялёныя Святкі», праздник «</w:t>
      </w:r>
      <w:proofErr w:type="gramStart"/>
      <w:r w:rsidRPr="0079459F">
        <w:rPr>
          <w:rFonts w:ascii="Times New Roman" w:hAnsi="Times New Roman"/>
          <w:sz w:val="28"/>
          <w:szCs w:val="28"/>
        </w:rPr>
        <w:t>Свята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Ляль</w:t>
      </w:r>
      <w:r w:rsidRPr="0079459F">
        <w:rPr>
          <w:rFonts w:ascii="Times New Roman" w:hAnsi="Times New Roman"/>
          <w:sz w:val="28"/>
          <w:szCs w:val="28"/>
          <w:lang w:val="be-BY"/>
        </w:rPr>
        <w:t>кі</w:t>
      </w:r>
      <w:r w:rsidRPr="0079459F">
        <w:rPr>
          <w:rFonts w:ascii="Times New Roman" w:hAnsi="Times New Roman"/>
          <w:sz w:val="28"/>
          <w:szCs w:val="28"/>
        </w:rPr>
        <w:t>», фестиваль народного творчества «Дрибинские Торжки», праздник средневековой культуры «Рыцарский фэст», фестиваль народного творчества и ремесел «Глушанский хуторок», фестиваль «Маковей», праздник «День огурца», фестиваль любительского театрального искусства «Свет рампы» и другие.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Старейший в Беларуси Могилевский областной краеведческий музей им.Е.Р.Романова отметил свое 150-летие (2017 год), а Могилевский областной драматический театр - 130-летие (2018 год).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Достижения организаций культуры признаны на </w:t>
      </w:r>
      <w:proofErr w:type="gramStart"/>
      <w:r w:rsidRPr="0079459F">
        <w:rPr>
          <w:rFonts w:ascii="Times New Roman" w:hAnsi="Times New Roman"/>
          <w:sz w:val="28"/>
          <w:szCs w:val="28"/>
        </w:rPr>
        <w:t>республиканском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уровнях: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специальным фондом Президента Республики Беларусь по поддержке талантливой молодежи присуждено 113 поощрений представителям Могилевской области;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работы за 2016 год на Республиканскую доску Почета занесено учреждение культуры «Могилевский областной методический центр народного творчества и культурно-просветительной работы», за 2017 год - учреждение культуры «Могилевский областной драматический театр»;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в 2017 году почетное звание «Залуженный коллектив Республики Беларусь» получил оркестр народных инструментов им.Л.Л.Иванова, «Заслуженный артист Республики Беларусь» - ведущий мастер сцены Н.Стешиц;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республиканского соревнования на лучшую организацию работы организаций культуры по концертному и театральному обслуживанию сельского населения за 2017 и 2018 годы Могилевская область была признана победителем в номинации «Лучшая область по организации концертного и театрального обслуживания сельского населения»;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результатам республиканского конкурса «Город культуры» лучшим городом областного подчинения за 2017 год стал г</w:t>
      </w:r>
      <w:proofErr w:type="gramStart"/>
      <w:r w:rsidRPr="0079459F">
        <w:rPr>
          <w:rFonts w:ascii="Times New Roman" w:hAnsi="Times New Roman"/>
          <w:sz w:val="28"/>
          <w:szCs w:val="28"/>
        </w:rPr>
        <w:t>.Б</w:t>
      </w:r>
      <w:proofErr w:type="gramEnd"/>
      <w:r w:rsidRPr="0079459F">
        <w:rPr>
          <w:rFonts w:ascii="Times New Roman" w:hAnsi="Times New Roman"/>
          <w:sz w:val="28"/>
          <w:szCs w:val="28"/>
        </w:rPr>
        <w:t>обруйск.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Проведена значительная работа по укреплению материально- технической базы организаций сферы культуры.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2018 году завершен капитальный ремонт здания Дворца культуры области в г. Могилеве, на ремонт объекта направлено свыше 26,9 млн</w:t>
      </w:r>
      <w:proofErr w:type="gramStart"/>
      <w:r w:rsidRPr="0079459F">
        <w:rPr>
          <w:rFonts w:ascii="Times New Roman" w:hAnsi="Times New Roman"/>
          <w:sz w:val="28"/>
          <w:szCs w:val="28"/>
        </w:rPr>
        <w:t>.р</w:t>
      </w:r>
      <w:proofErr w:type="gramEnd"/>
      <w:r w:rsidRPr="0079459F">
        <w:rPr>
          <w:rFonts w:ascii="Times New Roman" w:hAnsi="Times New Roman"/>
          <w:sz w:val="28"/>
          <w:szCs w:val="28"/>
        </w:rPr>
        <w:t>ублей, что позволило с честью провести пленарное заседание V Форума регионов Беларуси и России. Сегодня Дворец культуры области - это уникальный центр искусства в Могилевской области, оснащенный самым современным оборудованием, для досуга населения в коллективах художественного творчества и клубных формированиях, который оказывает услуги культурного, просветительского характера, а также реализует программы патриотического, духовно-нравственного воспитания подрастающего поколения.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реконструированы и построены также Дома культуры в Кличеве, Черикове, Чаусах.</w:t>
      </w:r>
    </w:p>
    <w:p w:rsidR="0035362C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Спорт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Могилевская область вносит весомый вклад в развитие олимпийского движения. В 2016 году на летних Олимпийских играх 2016 года в Рио-де-Жанейро в восьмерку сильнейших вошли 4 спортсмена, в том числе завоевано 2 серебряные медали - Вадим Стрельцов и Дарья Наумова (тяжелая атлетика). На Паралимпийских играх в Рио-де-Жанейро Игорь Бокий завоевал 6 золотых и 1 бронзовую медаль, установив шесть паралимпийских и два мировых рекорда (плавание - инваспорт).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2017 году чемпионами мира и призерами стали  7 спортсменов области.  В 2018 году – 3. На зимних Олимпийских играх в Пхенчхане победителем стала Динара Алимбекова (биатлон). Юрий Голуб завоевал одну золотую, две серебряных и одну бронзовую медали на Паралимпиаде (инваспорт - биатлон, лыжные гонки).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2019 году на II Европейских играх спортсменами Могилевщины завоевано 10  медалей (на I  Европейских играх - 6). 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 (в олимпийский цикл 9-12 годов- 346 медалей), за олимпийский цикл 2017-2020 годов в настоящее время завоевано 466 медалей (в 2016 году - 110 медалей, в 2017 -128 медалей (наилучший показатель за последние 15 лег), в 2018 году -126 медалей, за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59F">
        <w:rPr>
          <w:rFonts w:ascii="Times New Roman" w:hAnsi="Times New Roman"/>
          <w:sz w:val="28"/>
          <w:szCs w:val="28"/>
        </w:rPr>
        <w:t>9 месяцев 2018 года - 102 медали).</w:t>
      </w:r>
      <w:proofErr w:type="gramEnd"/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2016-2019 годах велась работа по совершенствованию материальной базы физкультурно-спортивной отрасли области.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 году завершена реконструкция спортивного комплекса в г</w:t>
      </w:r>
      <w:proofErr w:type="gramStart"/>
      <w:r w:rsidRPr="0079459F">
        <w:rPr>
          <w:rFonts w:ascii="Times New Roman" w:hAnsi="Times New Roman"/>
          <w:sz w:val="28"/>
          <w:szCs w:val="28"/>
        </w:rPr>
        <w:t>.Б</w:t>
      </w:r>
      <w:proofErr w:type="gramEnd"/>
      <w:r w:rsidRPr="0079459F">
        <w:rPr>
          <w:rFonts w:ascii="Times New Roman" w:hAnsi="Times New Roman"/>
          <w:sz w:val="28"/>
          <w:szCs w:val="28"/>
        </w:rPr>
        <w:t>ыхове (спортзал), введена в строй ледовая арена в г.Шклове и физкультурно-спортивный комплекс в г.пДраснополье.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2017 году введен в строй физкультурно-спортивный комплекс в г</w:t>
      </w:r>
      <w:proofErr w:type="gramStart"/>
      <w:r w:rsidRPr="0079459F">
        <w:rPr>
          <w:rFonts w:ascii="Times New Roman" w:hAnsi="Times New Roman"/>
          <w:sz w:val="28"/>
          <w:szCs w:val="28"/>
        </w:rPr>
        <w:t>.К</w:t>
      </w:r>
      <w:proofErr w:type="gramEnd"/>
      <w:r w:rsidRPr="0079459F">
        <w:rPr>
          <w:rFonts w:ascii="Times New Roman" w:hAnsi="Times New Roman"/>
          <w:sz w:val="28"/>
          <w:szCs w:val="28"/>
        </w:rPr>
        <w:t>остюковичи. Завершена реконструкция бассейна в г</w:t>
      </w:r>
      <w:proofErr w:type="gramStart"/>
      <w:r w:rsidRPr="0079459F">
        <w:rPr>
          <w:rFonts w:ascii="Times New Roman" w:hAnsi="Times New Roman"/>
          <w:sz w:val="28"/>
          <w:szCs w:val="28"/>
        </w:rPr>
        <w:t>.Г</w:t>
      </w:r>
      <w:proofErr w:type="gramEnd"/>
      <w:r w:rsidRPr="0079459F">
        <w:rPr>
          <w:rFonts w:ascii="Times New Roman" w:hAnsi="Times New Roman"/>
          <w:sz w:val="28"/>
          <w:szCs w:val="28"/>
        </w:rPr>
        <w:t>луске. Введен в эксплуатацию бассейн, тренажерный и 2 спортивных зала в средней школе г</w:t>
      </w:r>
      <w:proofErr w:type="gramStart"/>
      <w:r w:rsidRPr="0079459F">
        <w:rPr>
          <w:rFonts w:ascii="Times New Roman" w:hAnsi="Times New Roman"/>
          <w:sz w:val="28"/>
          <w:szCs w:val="28"/>
        </w:rPr>
        <w:t>.К</w:t>
      </w:r>
      <w:proofErr w:type="gramEnd"/>
      <w:r w:rsidRPr="0079459F">
        <w:rPr>
          <w:rFonts w:ascii="Times New Roman" w:hAnsi="Times New Roman"/>
          <w:sz w:val="28"/>
          <w:szCs w:val="28"/>
        </w:rPr>
        <w:t>ричева.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2018 году введен в эксплуатацию физкультурно-оздоровительный центр «Жемчужина» в г</w:t>
      </w:r>
      <w:proofErr w:type="gramStart"/>
      <w:r w:rsidRPr="0079459F">
        <w:rPr>
          <w:rFonts w:ascii="Times New Roman" w:hAnsi="Times New Roman"/>
          <w:sz w:val="28"/>
          <w:szCs w:val="28"/>
        </w:rPr>
        <w:t>.О</w:t>
      </w:r>
      <w:proofErr w:type="gramEnd"/>
      <w:r w:rsidRPr="0079459F">
        <w:rPr>
          <w:rFonts w:ascii="Times New Roman" w:hAnsi="Times New Roman"/>
          <w:sz w:val="28"/>
          <w:szCs w:val="28"/>
        </w:rPr>
        <w:t>сиповичи, бассейн, 2 тренажерных и 2 спортивных зала в средней школе г.Бобруйска.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 содействии белорусской федерации футбола введены в строй мини-футбольные площадки с искусственным покрытием в Белыничах, Краснополье, Осиповичах. Ведется строительство футбольного манежа в г</w:t>
      </w:r>
      <w:proofErr w:type="gramStart"/>
      <w:r w:rsidRPr="0079459F">
        <w:rPr>
          <w:rFonts w:ascii="Times New Roman" w:hAnsi="Times New Roman"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sz w:val="28"/>
          <w:szCs w:val="28"/>
        </w:rPr>
        <w:t>огилеве.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К регулярным занятиям физической культурой и спортом по месту учебы, работы и жительства привлечено свыше 250 тысяч человек (23,7% населения области). Во всех районах области созданы и функционируют центры (клубы) по месту жительства, а также отраслевые клубы, физкультурно-спортивные клубы на предприятиях. Действуют областные отраслевые физкультурно-спортивные клубы.</w:t>
      </w:r>
    </w:p>
    <w:p w:rsidR="0035362C" w:rsidRPr="0079459F" w:rsidRDefault="0035362C" w:rsidP="0035362C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***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Главным приоритетом нашей политики было и остается справедливое и внимательное отношение к людям, создание условий для роста благосостояния, комфортного проживания. </w:t>
      </w:r>
    </w:p>
    <w:p w:rsidR="0035362C" w:rsidRPr="0079459F" w:rsidRDefault="0035362C" w:rsidP="003536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 лучшее, что было создано в нашей стране, в Могилевской области за последнее время, теперь работает на человека – это и обновленные учреждения здравоохранения, способные выполнять самые сложные современные операции, образования, способствующие комфортному обучению и воспитанию подрастающего поколения, это и новые физкультурно-спортивные  и другие объекты социальной сферы.</w:t>
      </w: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5362C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главным управлением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идеологической</w:t>
      </w:r>
      <w:proofErr w:type="gramEnd"/>
    </w:p>
    <w:p w:rsidR="0035362C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работы и по делам молодежи облисполкома </w:t>
      </w:r>
    </w:p>
    <w:p w:rsidR="0035362C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структурных </w:t>
      </w:r>
    </w:p>
    <w:p w:rsidR="0035362C" w:rsidRPr="0079459F" w:rsidRDefault="0035362C" w:rsidP="0035362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подразделений облисполкома</w:t>
      </w: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62C" w:rsidRDefault="0035362C" w:rsidP="003536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lastRenderedPageBreak/>
        <w:t xml:space="preserve">АКТУАЛЬНОСТЬ СТРАХОВАНИЯ ИНДИВИДУАЛЬНЫХ ЖИЛЫХ ДОМОВ, ДАЧНЫХ ПОСТРОЕК </w:t>
      </w:r>
      <w:proofErr w:type="gramStart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В</w:t>
      </w:r>
      <w:proofErr w:type="gramEnd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</w:p>
    <w:p w:rsidR="0035362C" w:rsidRPr="00DB7878" w:rsidRDefault="0035362C" w:rsidP="003536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ОСЕННЕ-ЗИМНИЙ ПЕРИОД</w:t>
      </w:r>
    </w:p>
    <w:p w:rsidR="0035362C" w:rsidRPr="00DB7878" w:rsidRDefault="0035362C" w:rsidP="00353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Наступление осенне-зимнего периода для владельцев индивидуальных жилых домов предполагает активную эксплуатацию печного или иного отопительного оборудования, увеличение нагрузки на электропроводку, для владельцев дачных построек – длительную «консервацию» дачи до следующего года.</w:t>
      </w:r>
    </w:p>
    <w:p w:rsidR="0035362C" w:rsidRPr="00DB7878" w:rsidRDefault="0035362C" w:rsidP="00353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этот период возрастают риски пожара, взрыва, коротких замыканий с выходом из строя бытовой техники, неправомерных действий третьих лиц. Подобные бедствия возникают неожиданно и наносят ущерб собственному бюджету, который подчас трудно восполнить.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результате </w:t>
      </w:r>
      <w:r w:rsidRPr="00DB78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неосторожного обращения с огнем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</w:t>
      </w:r>
      <w:proofErr w:type="gram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.К</w:t>
      </w:r>
      <w:proofErr w:type="gram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ировске Могилевской области полностью уничтожен один из жилых домов. Произведена выплата страхового возмещения за строения, домашнее имущество более 12600 рублей. </w:t>
      </w:r>
    </w:p>
    <w:p w:rsidR="0035362C" w:rsidRPr="00DB7878" w:rsidRDefault="0035362C" w:rsidP="00353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различных несчастных случаев, виновными в которых чаще всего бывает сам человек, ежегодно в нашей стране отмечаются и различные стихийные бедствия. Они не зависят от воли человека и причиняют серьезный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людям, так и их имуществу. Весной и летом 2018 года по всей республике прошли грозы с сильным ветром и ливневыми дождями. 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Представительствами Белгосстраха только по Могилевской области выплачено 241969  рублей по 904 заявлениям страхователей.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стал исключением и нынешний год, он уже принес немало проблем жителям нашей страны. Самым «ярким» впечатлением лета стало </w:t>
      </w:r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25 июля, когда в Мядельском районе Минской области прошел невиданный град и под ледяной крошкой оказались сады, огороды, в домах повыбивало окна, ветер сорвал с кровли шифер, стихия ломала теплицы.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Могилевская область в текущем году пострадала уже трижды: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март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результате сильного ветра повреждены кровли жилых домов;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и июль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сильные дожди, грозы. Во время грозы в деревне в дом ударила молния. Ущерб от пожара составил более 18000 рублей. Строения были застрахованы в обязательном порядке, выплата составила только 9000 рублей – половину от суммы ущерба. 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стихийных бедствий 2019 года повреждено имущество 572 страхователей, которым выплачено порядка 94 000 рублей.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владельцы индивидуальных жилых домов имеют возможность застраховать свое жилье в обязательном и добровольном порядке.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Главное отличие обязательного страхования от добровольного –  это то, что в обязательном порядке на страхование принимается только жилой дом и примыкающие к нему постройки.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Страховая сумма по обязательному страхованию строений составляет лишь 50 процентов от их стоимости.  Это значит, что при наступлении страхового случая ущерб будет возмещен только наполовину. Отдельно стоящие хозяйственные постройки (сараи,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бани, гаражи, заборы, беседки) обязательному страхованию не подлежат и могут быть застрахованы только в добровольном порядке.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случаев, в частности, на ремонт печей, замену электропроводки.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2018 году Белгосстрахом из данного фонда выделено 33 739 рублей, в 2019 году – 8 377 рублей. При этом отремонтированы печи и электропроводка в домах 48 страхователей.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 особой группе риска относятся садовые и дачные дома, особенно в осенне-зимний период. В это время, когда «дачники» перебираются в город и оставляют строения и имущество без присмотра на длительный период, возрастает активность злоумышленников, увеличивается количество краж, взломов, хулиганских действий.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2019 года в представительства Белгосстраха по Могилевской области за выплатой страхового возмещения в результате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кражи имущества и повреждения при этом строений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обратилось 125 страхователей, из них 15 – владельцы дач,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пожары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произошли в домовладениях 202 страхователей, из них 28 –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дачных. 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Как действовать застрахованному лицу при наступлении того или иного события?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какого-либо события страхователь                                (выгодоприобретатель, ответственное лицо, уполномоченное лицо)  должен незамедлительно заявить в соответствующие компетентные органы (аварийную службу, жилищно-эксплуатационную организацию, государственную пожарную службу, внутренних дел и т.п.) и в течение 3-х рабочих дней сообщить в страховую компанию или ее представителю о причиненном ущербе, а также сохранить до составления акта осмотра  специалистом страховой компании поврежденное имущество в том виде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оказалось после происшедшего события.   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Страхование – наиболее универсальный способ защиты имущества, т.к. оно оперирует деньгами. А деньги – известный эквивалент всему. Уплачивая взнос, сопоставимый небольшому проценту от стоимости застрахованного имущества, страхователь получает 100% возмещение ущерба при наступлении целого ряда непредвиденных событий, вызванных стихийными бедствиями, несчастными случаями, противоправными действиями третьих лиц.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Всю необходимую информацию можно получить в Белгосстрахе по круглосуточному телефону (0222) 500-500, или обратившись в его ближайшее представительство.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62C" w:rsidRPr="00DB7878" w:rsidRDefault="0035362C" w:rsidP="0035362C">
      <w:pPr>
        <w:spacing w:after="0" w:line="240" w:lineRule="auto"/>
        <w:ind w:left="567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Филиал Белгосстраха по Могилевской области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62C" w:rsidRDefault="0035362C" w:rsidP="003536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БЕЗОПАСНОЕ ТЕПЛО</w:t>
      </w:r>
    </w:p>
    <w:p w:rsidR="0035362C" w:rsidRPr="00DB7878" w:rsidRDefault="0035362C" w:rsidP="003536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За 9 месяцев текущего года в Могилевской области произошло   604 пожара, погибло 48человек. Т</w:t>
      </w:r>
      <w:r w:rsidRPr="00DB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равмировано48 человек, в том числе 4 ребенка.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161 строение, 37 голов скота,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21 единица техники. </w:t>
      </w:r>
    </w:p>
    <w:p w:rsidR="0035362C" w:rsidRPr="00DB7878" w:rsidRDefault="0035362C" w:rsidP="0035362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35362C" w:rsidRPr="00DB7878" w:rsidRDefault="0035362C" w:rsidP="003536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–263пожара;</w:t>
      </w:r>
    </w:p>
    <w:p w:rsidR="0035362C" w:rsidRPr="00DB7878" w:rsidRDefault="0035362C" w:rsidP="003536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установок–115;</w:t>
      </w:r>
    </w:p>
    <w:p w:rsidR="0035362C" w:rsidRPr="00DB7878" w:rsidRDefault="0035362C" w:rsidP="003536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93;</w:t>
      </w:r>
    </w:p>
    <w:p w:rsidR="0035362C" w:rsidRPr="00DB7878" w:rsidRDefault="0035362C" w:rsidP="003536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Ежегодно с наступлением осенне-зимнего периода, существенно возрастает количество пожаров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,  происходящих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правил пожарной безопасности при устройстве и эксплуатации печного отопления.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Жителям частного сектора за время, что осталось до наступления морозов, нужно успеть провести «ревизию» готовности жилья к зиме: почистить дымоходы, заделать трещины в печах, чтобы было тепло, а главное безопасно. Изучим основные постулаты печной безопасности:</w:t>
      </w:r>
    </w:p>
    <w:p w:rsidR="0035362C" w:rsidRPr="00DB7878" w:rsidRDefault="0035362C" w:rsidP="0035362C">
      <w:pPr>
        <w:tabs>
          <w:tab w:val="left" w:pos="77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Прочистите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Побелите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Печи, поверхности труб и стен, в которых проходят дымовые каналы, должны быть без трещин, а на чердаках – оштукатурены и побелены. Трещины в дымоходе -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35362C" w:rsidRPr="00DB7878" w:rsidRDefault="0035362C" w:rsidP="00353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Прибейте перед топкой к полу металлический лист размерами не менее 50х70 см.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Подойдет цементная или плиточная основа. И даже несмотря на их наличие,  не оставляйте открытыми топочные дверцы.  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Не перекаливайте печь.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м. от топочных отверстий топливо, одежду и другие горючие вещества и материалы. Не применяйте для розжига бензин, керосин или другие легковоспламеняющиеся жидкости. Не топите дровами, длина которых превышает размеры топки.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 оставляйте без присмотра топящиеся печи и не поручайте надзор за ними детям.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 Горячую 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DB7878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строений, предварительно затушив водой, песком или снегом.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Минимум за 2 часа до сна прекращайте топку печи.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закрывайте заслонку дымохода печи, пока угли полностью не прогорят. Помните: от угарного газа можно получить смертельное отравление и не проснуться.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Сразу три нарушения правил эксплуатации печного отопления допустила 61-летняя пенсионерка и в результате  лишилась здоровья и жилья. Так, 1 октября утром жительница деревни Кончаны Бобруйского района затопила печь, а сама ушла заниматься домашними делами на улицу. Дверца печи осталась открытой и огонь, оставленный без присмотра, беспрепятственно попал на строительные материалы, хранящиеся около печи. По возвращению в дом,  пенсионерка открыла дверь и в лицо ей ударила огненная волна, травмировавшая лицо и руки. С ожогами 15 % тела хозяйка госпитализирована. Не пощадил огонь и жилье: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уничтожена кровля, повреждено перекрытие, стены и имущество в доме.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статистике больше всего под удар "печных" пожаров попадают пенсионеры. Если Ваши престарелые родители или родственники живут в частном секторе и нуждаются в помощи - съездите к  ним, установите автономные пожарные извещатели в жилых комнатах, проверьте исправность проводки и печи, помогите с ремонтом!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Осторожности и соблюдения правил безопасности требует еще один источник тепла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бытовые котлы.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Неграмотная эксплуатация котельного оборудования может повлечь разрушение не только котла, но даже и здания. </w:t>
      </w:r>
    </w:p>
    <w:p w:rsidR="0035362C" w:rsidRPr="00DB7878" w:rsidRDefault="0035362C" w:rsidP="003536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Поврежденный котел, внутренняя перегородка между помещениями топочной и ванной комнаты,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остекление оконного проема в ванной комнате, частично кровля: таковы последствия разрыва отопительного котла в д. Дудары Лидского района Гродненской области, произошедшего 8 октября утром. В момент происшествия в доме находилась жена хозяина, его взрослая дочь и внучка. К счастью, никто не пострадал. Предполагаемая причина разрыва котла – отсутствие циркуляции теплоносителя в системе. 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Одна из причин взрывов бытовых котлов - замерзание систем отопления (расширительных баков) с прекращением циркуляции воды. Особенно это характерно для начала отопительного сезона или в период оттепели, когда в дневное время наблюдается плюсовая температура, а ночью  столбик  термометра  опускается ниже  нулевой  отметки,  что  приводит  к  замерзанию  трубопроводов  и  расширительных  баков  с прекращением  циркуляции  воды.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отопительного периода рекомендуется: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чистить  поверхности  внутри  котла  и дымоходы  от  сажи.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Выполнить  при  необходимости  их  ремонт;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  ревизию   или  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заменить на исправную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запорную  и  предохранительную арматуру;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ромыть систему отопления  и  заполнить  её  водой;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бедиться  в   герметичности   котла   и системы  отопления;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еплоизолировать   находящиеся на чердаке и в неотапливаемых помещениях    трубопроводы  и  расширительный  бак.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предотвращения взрывов котлов рекомендуется: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лить конденсат из нижнего кармана дымовой трубы для котлов, работающих с естественной тягой.</w:t>
      </w:r>
    </w:p>
    <w:p w:rsidR="0035362C" w:rsidRPr="00DB7878" w:rsidRDefault="0035362C" w:rsidP="0035362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ровести осмотр оголовков дымоходов и убедится в отсутствии их обмерзания и закупорки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362C" w:rsidRPr="00DB7878" w:rsidRDefault="0035362C" w:rsidP="003536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 начала розжига котла открыть линию подпитки системы отопления и контрольную линию заполнения расширительного бака. Убедиться, что давление по манометру, установленному на котле, не растет.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 из  контрольной  линии  заполнения  расширительного  бака  не  пошла  вода,   а  давление воды  в  котле  растет  и достигает  давления  в водопроводной  сети, это  свидетельствует  о замерзании  системы  отопления. В  этом случае  котел  разжигать   категорически запрещено! 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подпиточной линии) потечет вода, можно постепенно разжигать котел все время контролируя, давление на котле по манометру. Если давление на котле начинает приближаться 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допустимому по паспорту котла, необходимо срочно прекратить топить котел и удалить из него все топливо. В этом случае система отопления не отогрета.</w:t>
      </w:r>
    </w:p>
    <w:p w:rsidR="0035362C" w:rsidRPr="00DB7878" w:rsidRDefault="0035362C" w:rsidP="003536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  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eastAsia="Times New Roman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Запрещается: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спользовать самодельные котлы, не оборудованные автоматикой безопасности и контрольно-измерительными приборами;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ранить рядом с котлом горючие, смазочные и другие горючие материалы.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Все эти меры позволяет в значительной степени снизить риски при эксплуатации бытовых водогрейных котлов и сохранить жизнь и здоровье людей.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усиленном режиме в осенне-зимний период работают и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Неисправная электропроводка, телевизоры в «режиме ожидания», оставленные в сети зарядные устройства, использование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ЧС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ля исключения возгорания электрооборудования из-за скачков и перепадов напряжения пользуйтесь сетевыми фильтрами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и в коем случае не пользуйтесь самодельными удлинителями, электронагревательными приборами и электроинструментом.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дна из главных «заповедей» безопасности – не оставляйте включенные электроприборы без присмотра.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работающими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 Неосторожное обращение с огнем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по-прежнему самая распространенная причина возгораний и гибели людей на пожарах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Горько осознавать, что, как правило, происходят данные трагедии из-за выпивающих 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Неосторожность при  курении такова предварительная причина пожара частного жилого дома в агрогородке Бель Кричевского района. В службу МЧС 25 сентября около 8 часов утра позвонили сосед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горел открытым пламенем. Помочь  52-летнему хозяину уже было невозможн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без признаков жизни обнаружили на полу. В результате пожара уничтожена кровля, перекрытие, имущество в доме. </w:t>
      </w:r>
    </w:p>
    <w:p w:rsidR="0035362C" w:rsidRPr="00DB7878" w:rsidRDefault="0035362C" w:rsidP="003536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Нередко ошибка одного человека влечет за собой гибель других. 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Двойная гибель - таковы трагические итоги первого дня октября. В 2 часа ночи в службу МЧС поступило сообщение о пожаре в двухкомнатной квартире на пятом этаже пятиэтажного жилого дома по пр-ту Мира в Могилеве.  Открытым пламенем горела одна из комнат. На полу в коридореспасателями в бессознательном состоянии был обнаружен  и эвакуирован 56-летний сын хозяйки. Реанимационные действия оказались бессильны - мужчина погиб. Не пощадила стихия и его 76-летнюю мать - ее обнаружили на кровати в комнате. Погибшая являлась инвалидом 1 группы и не могла передвигаться самостоятельно. В результате пожара уничтожено имущество в комнате, закопчены стены и потолок в квартире.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Предположительно пожар начался из-за неосторожного обращения с огнем при курении сына хозяйки.</w:t>
      </w:r>
    </w:p>
    <w:p w:rsidR="0035362C" w:rsidRPr="00DB7878" w:rsidRDefault="0035362C" w:rsidP="00353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безопасности населения, активизации пожарно-профилактической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работы, анализа ее эффективности и оценки готовности территорий к осенне-зимнему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Главные задачи мероприятия: информирование населения о состоянии пожарной безопасности, разъяснение гражданам последствий несоблюдения правил пожарной безопасности;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помощи внештатным пожарным формированиям в организации пожарно-профилактической работы;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территории; разъяснение гражданам последствия злоупотребления спиртными напитками. 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В период проведения акции каждый гражданин может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обратится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территориальный орган по чрезвычайным ситуациям для проведения обследования противопожарного состояния жилища. </w:t>
      </w:r>
    </w:p>
    <w:p w:rsidR="0035362C" w:rsidRPr="00DB7878" w:rsidRDefault="0035362C" w:rsidP="00353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DB7878">
        <w:rPr>
          <w:rFonts w:ascii="Times New Roman" w:eastAsia="Times New Roman" w:hAnsi="Times New Roman"/>
          <w:sz w:val="28"/>
          <w:szCs w:val="28"/>
        </w:rPr>
        <w:t>Приглашаем принять участие в акции всех граждан!</w:t>
      </w:r>
    </w:p>
    <w:p w:rsidR="0035362C" w:rsidRDefault="0035362C" w:rsidP="00353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в соответствии с законодательством Республики Беларусь ответственность за соблюдение </w:t>
      </w:r>
      <w:r w:rsidRPr="00DB7878">
        <w:rPr>
          <w:rFonts w:ascii="Times New Roman" w:eastAsia="Times New Roman" w:hAnsi="Times New Roman"/>
          <w:sz w:val="28"/>
          <w:szCs w:val="28"/>
          <w:lang w:eastAsia="ar-SA"/>
        </w:rPr>
        <w:t>требований пожарной безопасности в жилых домах, принадлежащих гражданам на праве частной собственности, возложена на их собственников.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5362C" w:rsidRDefault="0035362C" w:rsidP="00353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62C" w:rsidRDefault="0035362C" w:rsidP="003536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362C" w:rsidRDefault="0035362C" w:rsidP="003536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Могилевское областное УМЧС</w:t>
      </w:r>
    </w:p>
    <w:p w:rsidR="0035362C" w:rsidRDefault="0035362C" w:rsidP="003536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362C" w:rsidRDefault="0035362C" w:rsidP="003536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362C" w:rsidRDefault="0035362C" w:rsidP="003536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362C" w:rsidRPr="00982E00" w:rsidRDefault="0035362C" w:rsidP="003536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5362C" w:rsidRPr="00982E00" w:rsidRDefault="0035362C" w:rsidP="003536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b/>
          <w:sz w:val="30"/>
          <w:szCs w:val="30"/>
          <w:lang w:eastAsia="ru-RU"/>
        </w:rPr>
        <w:lastRenderedPageBreak/>
        <w:t>ГРАФИК</w:t>
      </w:r>
    </w:p>
    <w:p w:rsidR="0035362C" w:rsidRPr="00982E00" w:rsidRDefault="0035362C" w:rsidP="003536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sz w:val="30"/>
          <w:szCs w:val="30"/>
          <w:lang w:eastAsia="ru-RU"/>
        </w:rPr>
        <w:t xml:space="preserve">встреч членов информационно-пропагандистских групп облисполкома </w:t>
      </w:r>
    </w:p>
    <w:p w:rsidR="0035362C" w:rsidRPr="00982E00" w:rsidRDefault="0035362C" w:rsidP="003536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sz w:val="30"/>
          <w:szCs w:val="30"/>
          <w:lang w:eastAsia="ru-RU"/>
        </w:rPr>
        <w:t xml:space="preserve">в трудовых коллективах и с населением по месту жительства </w:t>
      </w:r>
    </w:p>
    <w:p w:rsidR="0035362C" w:rsidRPr="00982E00" w:rsidRDefault="0035362C" w:rsidP="003536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82E00">
        <w:rPr>
          <w:rFonts w:ascii="Times New Roman" w:eastAsia="SimSun" w:hAnsi="Times New Roman"/>
          <w:b/>
          <w:sz w:val="30"/>
          <w:szCs w:val="30"/>
          <w:lang w:eastAsia="ru-RU"/>
        </w:rPr>
        <w:t>в  октябре  2019  года*</w:t>
      </w:r>
    </w:p>
    <w:tbl>
      <w:tblPr>
        <w:tblpPr w:leftFromText="180" w:rightFromText="180" w:vertAnchor="text" w:horzAnchor="margin" w:tblpX="-34" w:tblpY="28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"/>
        <w:gridCol w:w="59"/>
        <w:gridCol w:w="1466"/>
        <w:gridCol w:w="34"/>
        <w:gridCol w:w="69"/>
        <w:gridCol w:w="2168"/>
        <w:gridCol w:w="30"/>
        <w:gridCol w:w="108"/>
        <w:gridCol w:w="2730"/>
      </w:tblGrid>
      <w:tr w:rsidR="0035362C" w:rsidRPr="00982E00" w:rsidTr="001C1C41">
        <w:trPr>
          <w:trHeight w:val="977"/>
        </w:trPr>
        <w:tc>
          <w:tcPr>
            <w:tcW w:w="3401" w:type="dxa"/>
            <w:gridSpan w:val="2"/>
            <w:vAlign w:val="center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Руководитель группы, подгруппы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Наименование района, города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Наименование организации, населенного пункта</w:t>
            </w:r>
          </w:p>
        </w:tc>
      </w:tr>
      <w:tr w:rsidR="0035362C" w:rsidRPr="00982E00" w:rsidTr="001C1C41">
        <w:trPr>
          <w:trHeight w:val="561"/>
        </w:trPr>
        <w:tc>
          <w:tcPr>
            <w:tcW w:w="10065" w:type="dxa"/>
            <w:gridSpan w:val="10"/>
            <w:vAlign w:val="center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1 ГРУППА</w:t>
            </w:r>
          </w:p>
        </w:tc>
      </w:tr>
      <w:tr w:rsidR="0035362C" w:rsidRPr="00982E00" w:rsidTr="001C1C41">
        <w:trPr>
          <w:trHeight w:val="839"/>
        </w:trPr>
        <w:tc>
          <w:tcPr>
            <w:tcW w:w="3401" w:type="dxa"/>
            <w:gridSpan w:val="2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ЗАЯЦ 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Леонид Константинович - 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35362C" w:rsidRPr="00982E00" w:rsidRDefault="0035362C" w:rsidP="001C1C41">
            <w:pPr>
              <w:spacing w:after="0" w:line="280" w:lineRule="exact"/>
              <w:ind w:right="-74"/>
              <w:jc w:val="center"/>
              <w:rPr>
                <w:rFonts w:ascii="Times New Roman" w:eastAsia="Batang" w:hAnsi="Times New Roman" w:cs="Batang"/>
                <w:color w:val="000000"/>
                <w:sz w:val="30"/>
                <w:szCs w:val="30"/>
                <w:lang w:eastAsia="ru-RU"/>
              </w:rPr>
            </w:pPr>
            <w:r w:rsidRPr="00982E00">
              <w:rPr>
                <w:rFonts w:ascii="Times New Roman" w:eastAsia="Batang" w:hAnsi="Times New Roman" w:cs="Batang"/>
                <w:color w:val="000000"/>
                <w:sz w:val="30"/>
                <w:szCs w:val="30"/>
                <w:lang w:eastAsia="ru-RU"/>
              </w:rPr>
              <w:t>г</w:t>
            </w:r>
            <w:proofErr w:type="gramStart"/>
            <w:r w:rsidRPr="00982E00">
              <w:rPr>
                <w:rFonts w:ascii="Times New Roman" w:eastAsia="Batang" w:hAnsi="Times New Roman" w:cs="Batang"/>
                <w:color w:val="000000"/>
                <w:sz w:val="30"/>
                <w:szCs w:val="30"/>
                <w:lang w:eastAsia="ru-RU"/>
              </w:rPr>
              <w:t>.М</w:t>
            </w:r>
            <w:proofErr w:type="gramEnd"/>
            <w:r w:rsidRPr="00982E00">
              <w:rPr>
                <w:rFonts w:ascii="Times New Roman" w:eastAsia="Batang" w:hAnsi="Times New Roman" w:cs="Batang"/>
                <w:color w:val="000000"/>
                <w:sz w:val="30"/>
                <w:szCs w:val="30"/>
                <w:lang w:eastAsia="ru-RU"/>
              </w:rPr>
              <w:t>огилев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35362C" w:rsidRPr="00982E00" w:rsidRDefault="0035362C" w:rsidP="001C1C41">
            <w:pPr>
              <w:spacing w:after="0" w:line="280" w:lineRule="exact"/>
              <w:ind w:right="-74"/>
              <w:jc w:val="center"/>
              <w:rPr>
                <w:rFonts w:ascii="Times New Roman" w:eastAsia="Batang" w:hAnsi="Times New Roman" w:cs="Batang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Batang" w:hAnsi="Times New Roman" w:cs="Batang"/>
                <w:color w:val="000000"/>
                <w:sz w:val="28"/>
                <w:szCs w:val="28"/>
                <w:lang w:eastAsia="ru-RU"/>
              </w:rPr>
              <w:t>СЗАО «Могилевский вагоностроительный завод»</w:t>
            </w:r>
          </w:p>
        </w:tc>
      </w:tr>
      <w:tr w:rsidR="0035362C" w:rsidRPr="00982E00" w:rsidTr="001C1C41">
        <w:trPr>
          <w:trHeight w:val="342"/>
        </w:trPr>
        <w:tc>
          <w:tcPr>
            <w:tcW w:w="10065" w:type="dxa"/>
            <w:gridSpan w:val="10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подгруппа</w:t>
            </w:r>
          </w:p>
        </w:tc>
      </w:tr>
      <w:tr w:rsidR="0035362C" w:rsidRPr="00982E00" w:rsidTr="001C1C41">
        <w:trPr>
          <w:trHeight w:val="1810"/>
        </w:trPr>
        <w:tc>
          <w:tcPr>
            <w:tcW w:w="3401" w:type="dxa"/>
            <w:gridSpan w:val="2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val="be-BY" w:eastAsia="ru-RU"/>
              </w:rPr>
              <w:t xml:space="preserve">ШЕРБАЧЕНЯ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val="be-BY" w:eastAsia="ru-RU"/>
              </w:rPr>
              <w:t>Игорь Владимирович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АЛЕКСО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9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ЯКУБОВ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Хотимский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ОАО «Хотимский льнозавод»</w:t>
            </w:r>
          </w:p>
        </w:tc>
      </w:tr>
      <w:tr w:rsidR="0035362C" w:rsidRPr="00982E00" w:rsidTr="001C1C41">
        <w:trPr>
          <w:trHeight w:val="325"/>
        </w:trPr>
        <w:tc>
          <w:tcPr>
            <w:tcW w:w="10065" w:type="dxa"/>
            <w:gridSpan w:val="10"/>
            <w:shd w:val="clear" w:color="auto" w:fill="FFFFFF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35362C" w:rsidRPr="00982E00" w:rsidTr="001C1C41">
        <w:trPr>
          <w:trHeight w:val="1200"/>
        </w:trPr>
        <w:tc>
          <w:tcPr>
            <w:tcW w:w="3401" w:type="dxa"/>
            <w:gridSpan w:val="2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КРАСОВСКИЙ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Виктор Михайлович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МАСЮК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Марина Юрьевна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Кричевский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E00">
              <w:rPr>
                <w:rFonts w:ascii="Times New Roman" w:hAnsi="Times New Roman"/>
                <w:color w:val="000000"/>
                <w:sz w:val="28"/>
                <w:szCs w:val="28"/>
              </w:rPr>
              <w:t>Кричевский завод ЖБИ</w:t>
            </w:r>
          </w:p>
        </w:tc>
      </w:tr>
      <w:tr w:rsidR="0035362C" w:rsidRPr="00982E00" w:rsidTr="001C1C41">
        <w:trPr>
          <w:trHeight w:val="144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56"/>
                <w:tab w:val="left" w:pos="279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3 подгруппа</w:t>
            </w:r>
          </w:p>
        </w:tc>
      </w:tr>
      <w:tr w:rsidR="0035362C" w:rsidRPr="00982E00" w:rsidTr="001C1C41">
        <w:trPr>
          <w:trHeight w:val="160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МАЙМУСОВ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БАТОВСКИЙ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Алексеевич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ПОДОЛЬСКИЙ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Вячеслав Вячеславович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Мстиславский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ГЛХУ «Мстиславский лесхоз»</w:t>
            </w:r>
          </w:p>
        </w:tc>
      </w:tr>
      <w:tr w:rsidR="0035362C" w:rsidRPr="00982E00" w:rsidTr="001C1C41">
        <w:trPr>
          <w:trHeight w:val="207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4 подгруппа</w:t>
            </w:r>
          </w:p>
        </w:tc>
      </w:tr>
      <w:tr w:rsidR="0035362C" w:rsidRPr="00982E00" w:rsidTr="001C1C41">
        <w:trPr>
          <w:trHeight w:val="703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МУЗЫЧЕНКО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250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Екатерина Анатольевна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ХАДУСКИНА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Шкловский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КСДУП «Шкловская ПМК № 2»</w:t>
            </w:r>
          </w:p>
        </w:tc>
      </w:tr>
      <w:tr w:rsidR="0035362C" w:rsidRPr="00982E00" w:rsidTr="001C1C41">
        <w:trPr>
          <w:trHeight w:val="394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2 ГРУППА</w:t>
            </w:r>
          </w:p>
        </w:tc>
      </w:tr>
      <w:tr w:rsidR="0035362C" w:rsidRPr="00982E00" w:rsidTr="001C1C41">
        <w:trPr>
          <w:trHeight w:val="1001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АКУЛИЧ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Василий Иванович -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7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огилев</w:t>
            </w:r>
          </w:p>
        </w:tc>
        <w:tc>
          <w:tcPr>
            <w:tcW w:w="2868" w:type="dxa"/>
            <w:gridSpan w:val="3"/>
          </w:tcPr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ОАО «Могилевхлебопро-дукт </w:t>
            </w:r>
            <w:proofErr w:type="gram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–у</w:t>
            </w:r>
            <w:proofErr w:type="gram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правляющая компания холдинга «Могилевхлебопродукт»</w:t>
            </w: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62C" w:rsidRPr="00982E00" w:rsidTr="001C1C41">
        <w:trPr>
          <w:trHeight w:val="322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1 подгруппа</w:t>
            </w:r>
          </w:p>
        </w:tc>
      </w:tr>
      <w:tr w:rsidR="0035362C" w:rsidRPr="00982E00" w:rsidTr="001C1C41">
        <w:trPr>
          <w:trHeight w:val="1337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МАСЛОВ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Николаевич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МАРТЫНОВСКИЙ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Андрей Владимирович ДАШКОВА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Горецкий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ДСУ № 27 ОАО «ДСТ № 3»</w:t>
            </w:r>
          </w:p>
        </w:tc>
      </w:tr>
      <w:tr w:rsidR="0035362C" w:rsidRPr="00982E00" w:rsidTr="001C1C41">
        <w:trPr>
          <w:trHeight w:val="352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35362C" w:rsidRPr="00982E00" w:rsidTr="001C1C41">
        <w:trPr>
          <w:trHeight w:val="120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ПЕТРУЧЕНЯ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Ирина Михайловна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МЕНЬШИКОВА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Татьяна Федоровна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Чаусский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«Чаусский маслодельно-сыродельный завод»</w:t>
            </w:r>
          </w:p>
        </w:tc>
      </w:tr>
      <w:tr w:rsidR="0035362C" w:rsidRPr="00982E00" w:rsidTr="001C1C41">
        <w:trPr>
          <w:trHeight w:val="144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5362C" w:rsidRPr="00982E00" w:rsidTr="001C1C41">
        <w:trPr>
          <w:trHeight w:val="160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МОРОЗОВА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ПИЩЕНКО 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Олег Александрович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ШЛОГОВА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Шкловский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РПУП «Семнадцать»</w:t>
            </w:r>
          </w:p>
        </w:tc>
      </w:tr>
      <w:tr w:rsidR="0035362C" w:rsidRPr="00982E00" w:rsidTr="001C1C41">
        <w:trPr>
          <w:trHeight w:val="491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31"/>
                <w:tab w:val="left" w:pos="314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3 ГРУППА</w:t>
            </w:r>
          </w:p>
        </w:tc>
      </w:tr>
      <w:tr w:rsidR="0035362C" w:rsidRPr="00982E00" w:rsidTr="001C1C41">
        <w:trPr>
          <w:trHeight w:val="916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МАЛАШКО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Валерий Анатольевич,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25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1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огилев</w:t>
            </w:r>
          </w:p>
        </w:tc>
        <w:tc>
          <w:tcPr>
            <w:tcW w:w="2868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УО «Могилевский государственный университет продовольствия»</w:t>
            </w:r>
          </w:p>
        </w:tc>
      </w:tr>
      <w:tr w:rsidR="0035362C" w:rsidRPr="00982E00" w:rsidTr="001C1C41">
        <w:trPr>
          <w:trHeight w:val="329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5362C" w:rsidRPr="00982E00" w:rsidTr="001C1C41">
        <w:trPr>
          <w:trHeight w:val="1377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СТЕЛЬМАШОК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МУРАВЬЕВ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Владимир Иванович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КОЗЛОВ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Дрибинский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Встреча с работниками социальной сферы Дрибинского района</w:t>
            </w:r>
          </w:p>
        </w:tc>
      </w:tr>
      <w:tr w:rsidR="0035362C" w:rsidRPr="00982E00" w:rsidTr="001C1C41">
        <w:trPr>
          <w:trHeight w:val="123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35362C" w:rsidRPr="00982E00" w:rsidTr="001C1C41">
        <w:trPr>
          <w:trHeight w:val="1400"/>
        </w:trPr>
        <w:tc>
          <w:tcPr>
            <w:tcW w:w="3401" w:type="dxa"/>
            <w:gridSpan w:val="2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ДЕДКОВ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Николай Леонидович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ШАХ Сергей Сергеевич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БУБЕНЦОВ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FF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Хотимский 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КУП «Хотимская ПМК № 276»</w:t>
            </w:r>
          </w:p>
        </w:tc>
      </w:tr>
      <w:tr w:rsidR="0035362C" w:rsidRPr="00982E00" w:rsidTr="001C1C41">
        <w:trPr>
          <w:trHeight w:val="416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4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5362C" w:rsidRPr="00982E00" w:rsidTr="001C1C41">
        <w:trPr>
          <w:trHeight w:val="160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ЖИЛИН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СТОЛЯРОВ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Андрей Михайлович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ОЛЕНИКОВ</w:t>
            </w: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Геннадий Геннадьевич</w:t>
            </w: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  <w:t>Краснопольский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  <w:t>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УЗ «Краснопольская ЦРБ»</w:t>
            </w:r>
          </w:p>
        </w:tc>
      </w:tr>
      <w:tr w:rsidR="0035362C" w:rsidRPr="00982E00" w:rsidTr="001C1C41">
        <w:trPr>
          <w:trHeight w:val="239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4 подгруппа</w:t>
            </w:r>
          </w:p>
        </w:tc>
      </w:tr>
      <w:tr w:rsidR="0035362C" w:rsidRPr="00982E00" w:rsidTr="001C1C41">
        <w:trPr>
          <w:trHeight w:val="127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СЫРАНКОВ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Александрович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ДИВАКОВА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Елена Григорьевна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Кличевский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КСУП «Тельмана»</w:t>
            </w:r>
          </w:p>
        </w:tc>
      </w:tr>
      <w:tr w:rsidR="0035362C" w:rsidRPr="00982E00" w:rsidTr="001C1C41">
        <w:trPr>
          <w:trHeight w:val="498"/>
        </w:trPr>
        <w:tc>
          <w:tcPr>
            <w:tcW w:w="10065" w:type="dxa"/>
            <w:gridSpan w:val="10"/>
            <w:vAlign w:val="center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4 ГРУППА</w:t>
            </w:r>
          </w:p>
        </w:tc>
      </w:tr>
      <w:tr w:rsidR="0035362C" w:rsidRPr="00982E00" w:rsidTr="001C1C41">
        <w:trPr>
          <w:trHeight w:val="646"/>
        </w:trPr>
        <w:tc>
          <w:tcPr>
            <w:tcW w:w="3460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СТРАХАР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Руслан Борисович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6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8" w:type="dxa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Могилевский район</w:t>
            </w:r>
          </w:p>
        </w:tc>
        <w:tc>
          <w:tcPr>
            <w:tcW w:w="2868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ЗАО «Серволюкс-Агро»</w:t>
            </w:r>
          </w:p>
        </w:tc>
      </w:tr>
      <w:tr w:rsidR="0035362C" w:rsidRPr="00982E00" w:rsidTr="001C1C41">
        <w:trPr>
          <w:trHeight w:val="395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5362C" w:rsidRPr="00982E00" w:rsidTr="001C1C41">
        <w:trPr>
          <w:trHeight w:val="120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БАЛАШЕНКО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Дмитрий Владимирович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ОСМОЛОВСКИЙ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Виктор Михайлович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Глусский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>МКО УПП «Облтопливо», ф-л «Глусский райтопсбыт»</w:t>
            </w:r>
          </w:p>
        </w:tc>
      </w:tr>
      <w:tr w:rsidR="0035362C" w:rsidRPr="00982E00" w:rsidTr="001C1C41">
        <w:trPr>
          <w:trHeight w:val="144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35362C" w:rsidRPr="00982E00" w:rsidTr="001C1C41">
        <w:trPr>
          <w:trHeight w:val="1600"/>
        </w:trPr>
        <w:tc>
          <w:tcPr>
            <w:tcW w:w="3369" w:type="dxa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МЯКИНЬКИЙ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ВИСКОВСКИЙ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Владислав Владимирович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БРЕЖЕЗИНСКИЙ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1591" w:type="dxa"/>
            <w:gridSpan w:val="4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  <w:t>Круглянский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Круглянский УКП «Жилкомхоз»</w:t>
            </w:r>
          </w:p>
        </w:tc>
      </w:tr>
      <w:tr w:rsidR="0035362C" w:rsidRPr="00982E00" w:rsidTr="001C1C41">
        <w:trPr>
          <w:trHeight w:val="377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5362C" w:rsidRPr="00982E00" w:rsidTr="001C1C41">
        <w:trPr>
          <w:trHeight w:val="120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МОИСЕЕВ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Николай Михайлович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БОРИСЕНКО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Бобруйский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СПК «Гигант»</w:t>
            </w:r>
          </w:p>
        </w:tc>
      </w:tr>
      <w:tr w:rsidR="0035362C" w:rsidRPr="00982E00" w:rsidTr="001C1C41">
        <w:trPr>
          <w:trHeight w:val="144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35362C" w:rsidRPr="00982E00" w:rsidTr="001C1C41">
        <w:trPr>
          <w:trHeight w:val="1200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КЛИШО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Игорь Леонтьевич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ТЕПЛЯКОВ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Константин Ильич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ФЕДОНЕНКОВ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  <w:t>Климовичский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E00">
              <w:rPr>
                <w:rFonts w:ascii="Times New Roman" w:hAnsi="Times New Roman"/>
                <w:sz w:val="28"/>
                <w:szCs w:val="28"/>
              </w:rPr>
              <w:t>ОАО «Климовичирайагропромтехснаб»</w:t>
            </w:r>
          </w:p>
        </w:tc>
      </w:tr>
      <w:tr w:rsidR="0035362C" w:rsidRPr="00982E00" w:rsidTr="001C1C41">
        <w:trPr>
          <w:trHeight w:val="393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5 ГРУППА</w:t>
            </w:r>
          </w:p>
        </w:tc>
      </w:tr>
      <w:tr w:rsidR="0035362C" w:rsidRPr="00982E00" w:rsidTr="001C1C41">
        <w:trPr>
          <w:trHeight w:val="883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ПАРХАМОВИЧ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Руслан Викторович –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7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Осиповичский район</w:t>
            </w:r>
          </w:p>
        </w:tc>
        <w:tc>
          <w:tcPr>
            <w:tcW w:w="2868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УКП «Жилкомхоз»</w:t>
            </w:r>
          </w:p>
        </w:tc>
      </w:tr>
      <w:tr w:rsidR="0035362C" w:rsidRPr="00982E00" w:rsidTr="001C1C41">
        <w:trPr>
          <w:trHeight w:val="441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5362C" w:rsidRPr="00982E00" w:rsidTr="001C1C41">
        <w:trPr>
          <w:trHeight w:val="414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НОВИКОВ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Валентинович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НЕМЕНКОВ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Дмитрий Анатольевич МАЛАХОВ</w:t>
            </w: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Дмитрий Владиславович</w:t>
            </w:r>
          </w:p>
          <w:p w:rsidR="0035362C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5" w:type="dxa"/>
            <w:gridSpan w:val="4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Белыничский район</w:t>
            </w:r>
          </w:p>
        </w:tc>
        <w:tc>
          <w:tcPr>
            <w:tcW w:w="2730" w:type="dxa"/>
          </w:tcPr>
          <w:p w:rsidR="0035362C" w:rsidRPr="00982E00" w:rsidRDefault="0035362C" w:rsidP="001C1C4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82E0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Физкультурно-оздоровительный комплекс «Друть»</w:t>
            </w:r>
          </w:p>
        </w:tc>
      </w:tr>
      <w:tr w:rsidR="0035362C" w:rsidRPr="00982E00" w:rsidTr="001C1C41">
        <w:trPr>
          <w:trHeight w:val="144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8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2 подгруппа</w:t>
            </w:r>
          </w:p>
        </w:tc>
      </w:tr>
      <w:tr w:rsidR="0035362C" w:rsidRPr="00982E00" w:rsidTr="001C1C41">
        <w:trPr>
          <w:trHeight w:val="1104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ЗУБРИНОВИЧ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Дмитрий Степанович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ЖИГУНОВ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Анатольевич</w:t>
            </w: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обруйск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«Белшина»</w:t>
            </w:r>
          </w:p>
        </w:tc>
      </w:tr>
      <w:tr w:rsidR="0035362C" w:rsidRPr="00982E00" w:rsidTr="001C1C41">
        <w:trPr>
          <w:trHeight w:val="410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5362C" w:rsidRPr="00982E00" w:rsidTr="001C1C41">
        <w:trPr>
          <w:trHeight w:val="415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ШУТОВА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Светлана Александровна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КОРОПОВ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Олег Леонидович  ИЩЕНКО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Славгородский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«Присожье»</w:t>
            </w:r>
          </w:p>
        </w:tc>
      </w:tr>
      <w:tr w:rsidR="0035362C" w:rsidRPr="00982E00" w:rsidTr="001C1C41">
        <w:trPr>
          <w:trHeight w:val="385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35362C" w:rsidRPr="00982E00" w:rsidTr="001C1C41">
        <w:trPr>
          <w:trHeight w:val="1145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ПАПКОВ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Валерьевич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АВХУТСКИЙ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Константинович ПРОФАТИЛОВ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Чериковский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УКП «Жилкомхоз»</w:t>
            </w:r>
          </w:p>
        </w:tc>
      </w:tr>
      <w:tr w:rsidR="0035362C" w:rsidRPr="00982E00" w:rsidTr="001C1C41">
        <w:trPr>
          <w:trHeight w:val="355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6 ГРУППА</w:t>
            </w:r>
          </w:p>
        </w:tc>
      </w:tr>
      <w:tr w:rsidR="0035362C" w:rsidRPr="00982E00" w:rsidTr="001C1C41">
        <w:trPr>
          <w:trHeight w:val="297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5362C" w:rsidRPr="00982E00" w:rsidTr="001C1C41">
        <w:trPr>
          <w:trHeight w:val="1044"/>
        </w:trPr>
        <w:tc>
          <w:tcPr>
            <w:tcW w:w="3401" w:type="dxa"/>
            <w:gridSpan w:val="2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РОЖКОВ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Роман Леонидович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КУСКОВА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Костюковичский 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Костюковичское райпо</w:t>
            </w:r>
          </w:p>
        </w:tc>
      </w:tr>
      <w:tr w:rsidR="0035362C" w:rsidRPr="00982E00" w:rsidTr="001C1C41">
        <w:trPr>
          <w:trHeight w:val="327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2  подгруппа</w:t>
            </w:r>
          </w:p>
        </w:tc>
      </w:tr>
      <w:tr w:rsidR="0035362C" w:rsidRPr="00982E00" w:rsidTr="001C1C41">
        <w:trPr>
          <w:trHeight w:val="422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ТАРАСЕНКО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250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Светлана Петровна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ЛАКИЗА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Дмитрий Владимирович</w:t>
            </w: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БЛАШКОВ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Быховский 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Районный центр социального обслуживания населения</w:t>
            </w:r>
          </w:p>
        </w:tc>
      </w:tr>
      <w:tr w:rsidR="0035362C" w:rsidRPr="00982E00" w:rsidTr="001C1C41">
        <w:trPr>
          <w:trHeight w:val="379"/>
        </w:trPr>
        <w:tc>
          <w:tcPr>
            <w:tcW w:w="10065" w:type="dxa"/>
            <w:gridSpan w:val="10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5362C" w:rsidRPr="00982E00" w:rsidTr="001C1C41">
        <w:trPr>
          <w:trHeight w:val="1526"/>
        </w:trPr>
        <w:tc>
          <w:tcPr>
            <w:tcW w:w="3401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БАРГАТИН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80"/>
              </w:tabs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Александр Константинович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КРИКУНОВ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Александр Тимофеевич </w:t>
            </w:r>
          </w:p>
        </w:tc>
        <w:tc>
          <w:tcPr>
            <w:tcW w:w="1559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Осиповичский</w:t>
            </w:r>
          </w:p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5362C" w:rsidRPr="00982E00" w:rsidRDefault="0035362C" w:rsidP="001C1C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ОСП «СУ № 2 на ст. Осиповичи «ОАО «Дорстроймонтажтрест»</w:t>
            </w:r>
          </w:p>
        </w:tc>
      </w:tr>
    </w:tbl>
    <w:p w:rsidR="0035362C" w:rsidRPr="00982E00" w:rsidRDefault="0035362C" w:rsidP="0035362C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sz w:val="30"/>
          <w:szCs w:val="30"/>
          <w:lang w:eastAsia="ru-RU"/>
        </w:rPr>
        <w:t>_________</w:t>
      </w:r>
    </w:p>
    <w:p w:rsidR="0035362C" w:rsidRPr="00982E00" w:rsidRDefault="0035362C" w:rsidP="0035362C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eastAsia="SimSun"/>
          <w:lang w:eastAsia="ru-RU"/>
        </w:rPr>
      </w:pPr>
      <w:r w:rsidRPr="00982E00">
        <w:rPr>
          <w:rFonts w:eastAsia="SimSun"/>
          <w:lang w:eastAsia="ru-RU"/>
        </w:rPr>
        <w:t xml:space="preserve">            *  </w:t>
      </w:r>
      <w:r w:rsidRPr="00982E00">
        <w:rPr>
          <w:rFonts w:ascii="Times New Roman" w:eastAsia="SimSun" w:hAnsi="Times New Roman"/>
          <w:sz w:val="18"/>
          <w:lang w:eastAsia="ru-RU"/>
        </w:rPr>
        <w:t>в графике возможны изменения</w:t>
      </w:r>
      <w:r w:rsidRPr="00982E00">
        <w:rPr>
          <w:rFonts w:eastAsia="SimSun"/>
          <w:lang w:eastAsia="ru-RU"/>
        </w:rPr>
        <w:t>.</w:t>
      </w:r>
    </w:p>
    <w:p w:rsidR="0035362C" w:rsidRPr="00982E00" w:rsidRDefault="0035362C" w:rsidP="0035362C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sz w:val="30"/>
          <w:szCs w:val="30"/>
          <w:lang w:eastAsia="ru-RU"/>
        </w:rPr>
      </w:pPr>
    </w:p>
    <w:p w:rsidR="00791A96" w:rsidRPr="00D61B6A" w:rsidRDefault="00791A96">
      <w:pPr>
        <w:rPr>
          <w:rFonts w:ascii="Times New Roman" w:hAnsi="Times New Roman"/>
          <w:sz w:val="28"/>
          <w:szCs w:val="28"/>
        </w:rPr>
      </w:pPr>
    </w:p>
    <w:sectPr w:rsidR="00791A96" w:rsidRPr="00D61B6A" w:rsidSect="00F40D68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1107"/>
      <w:docPartObj>
        <w:docPartGallery w:val="Page Numbers (Top of Page)"/>
        <w:docPartUnique/>
      </w:docPartObj>
    </w:sdtPr>
    <w:sdtEndPr/>
    <w:sdtContent>
      <w:p w:rsidR="00F40D68" w:rsidRDefault="003536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F40D68" w:rsidRDefault="003536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D61B6A"/>
    <w:rsid w:val="0035362C"/>
    <w:rsid w:val="00791A96"/>
    <w:rsid w:val="00D6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362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62C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35362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62C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536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3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536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rec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12041</Words>
  <Characters>68637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2019-10-15T11:43:00Z</dcterms:created>
  <dcterms:modified xsi:type="dcterms:W3CDTF">2019-10-15T11:57:00Z</dcterms:modified>
</cp:coreProperties>
</file>