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МОГИЛЁВСКИЙ ОБЛАСТНОЙ ИСПОЛНИТЕЛЬНЫЙ КОМИТЕТ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ГЛАВНОЕ УПРАВЛЕНИЕ ИДЕОЛОГИЧЕСКОЙ РАБОТЫ,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КУЛЬТУРЫ И ПО ДЕЛАМ МОЛОДЕЖИ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НАЦИОНАЛЬНАЯ ТУРИСТИЧЕСКАЯ ИНДУСТРИЯ. ОБЕСПЕЧЕНИЕ ДОСТУПНОСТИ УСЛУГ ПО ОРГАНИЗАЦИИ ВНУТРЕННЕГО ТУРИЗМА ДЛЯ БЕЛОРУССКИХ ГРАЖДАН. БЕЗВИЗОВЫЙ ПОРЯДОК ВЪЕЗДА В БЕЛАРУСЬ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 для информационно-пропагандистских групп</w:t>
      </w: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0893" w:rsidRDefault="00540893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_GoBack"/>
      <w:bookmarkEnd w:id="0"/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Default="0033711A" w:rsidP="00B42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3711A" w:rsidRPr="0033711A" w:rsidRDefault="0033711A" w:rsidP="00B42E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г. Могилёв</w:t>
      </w:r>
    </w:p>
    <w:p w:rsidR="0033711A" w:rsidRPr="0043038C" w:rsidRDefault="0033711A" w:rsidP="004303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июнь 2017г</w:t>
      </w:r>
      <w:r w:rsidR="004303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НАЦИОНАЛЬНАЯ ТУРИСТИЧЕСКАЯ ИНДУСТРИЯ. ОБЕСПЕЧЕНИЕ ДОСТУПНОСТИ УСЛУГ ПО ОРГАНИЗАЦИИ ВНУТРЕННЕГО ТУРИЗМА ДЛЯ БЕЛОРУССКИХ ГРАЖДАН. БЕЗВИЗОВЫЙ ПОРЯДОК ВЪЕЗДА В БЕЛАРУСЬ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оценкам Всемирной туристской организации (далее – UNWTO), международный туризм сегодня – это 7% мирового экспорта товаров и услуг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(третья позиция после экспорта углеводородов и продуктов химического производства)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10% мирового ВВП. Каждое одиннадцатое рабочее место создано в сфере туризма.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данным UNWTO в 2016 году по всему миру совершено 1,2 млрд. туристических поездок (на 4% больше, чем в 2015 году), в том числе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615 млн. поездок в Европейский регион, 309 млн. – в Азиатско-Тихоокеанский, 200 млн. – на континенты Северной и Южной Америки, 58 млн. – в Африканский регион, 54 млн. – в регион Ближнего Востока.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Ожидается, что к 2030 году количество международных туристических прибытий достигнет 1,8 млрд.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 Беларуси сфера туристических услуг является одним из перспективных секторов экономики.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Факторами, определяющими быстрые темпы ее развития, являются: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выгодное географическое положение нашей страны;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трансъевропейских транспортных магистралей и туристической инфраструктуры;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многочисленные памятники истории и культуры, расположенные практически по всей территории Беларуси;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реализация государственных программ по развитию туризма 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инвестпроектов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республиканского и регионального значений;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продвижение положительного имиджа «Спортивной Беларуси» на международной арене, развитие спортивной инфраструктуры, увеличение количества проводимых международных спортивных мероприятий;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развитие системы учреждений здравоохранения и санаторно-курортного лечения, открытие объектов европейского и мирового уровня;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сохранность естественных ландшафтов Беларуси, богатство флоры и фауны.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цели и задачи по развитию туристической сферы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определены Государственной программой ”Беларусь гостеприимная“ на 2016–2020 годы, законами Республики Беларусь (”О туризме“ и др.), указами Президента Республики Беларусь, поручениями Правительства Республики Беларусь и другими нормативными документами.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 Виды туризма в Беларуси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1.1. </w:t>
      </w:r>
      <w:proofErr w:type="spellStart"/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Агроэкотуризм</w:t>
      </w:r>
      <w:proofErr w:type="spell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Относительно новый для Беларуси вид отдыха. Сегодня гостей принимают в более чем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2 тыс.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агроусадеб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расположенных в живописных уголках нашей страны.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данным Министерства спорта и туризма, в 2016 году белорусские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агроэкоусадьбы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посетило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свыше 300 тыс. чел.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что на 2,5% больше, чем в 2015 году. Граждане Республики Беларусь составили 90%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отдохнувших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Иностранцев было почти 30,5 тыс. чел. из 74 государств (в том числе 24 тыс. россиян). Согласно данным Министерства по налогам и сборам сумма оплаты предоставленных в прошлом году субъектами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агроэкотуризма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услуг в сравнении с 2015 годом увеличилась на 22,5% и составила 14,6 млн. рублей.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 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зарегистрировано 187 субъектов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агроэкотуризма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(2015 г. - 216). Наиболее активно развивается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агроэкотуризм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в следующих районах: 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Быховском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(33), Могилевском (27) и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Осиповичском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(24).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В 2016 году субъектами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агроэкотуризма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Могилевской области принято 31 016 туристов (2015 г. - 32 157), заключено 6 685 договоров (2015 г. - 7 194), получено 1 121,9 тыс. рублей (2015 г. - 869 тыс. рублей) за предоставленные услуги в сфере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агроэкотуризма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За период 2007-2016 годы филиалом ОАО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Белагропромбанк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» - Могилевское областное управление предоставлена кредитная поддержка 56 субъектам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агроэкотуризма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из 13 районов на общую сумму 812,61 тыс. рублей.</w:t>
      </w: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1.2. Медицинский и лечебно-оздоровительный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Становится все более востребованным среди иностранных граждан. По данным Минздрава Беларуси, в настоящее время у приезжающих из-за рубежа наиболее востребованы в нашей стране такие виды медицинской помощи как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карди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нейро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и внутрисосудистая хирургия, эндоскопические операции,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эндопротезирование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лечение онкологических заболеваний, стоматология, офтальмология, репродуктивная медицина, диагностические обследования, профилактическое лечение, восстановление после перенесенных заболеваний.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Беларусь входит в число 50 лучших стран мира по ведению беременности, организации родов квалифицированным медицинским персоналом. По количеству органных трансплантаций на 1 млн. населения Беларусь является лидером на постсоветском пространстве и опережает многие европейские страны. В стране выполняется 50 трансплантаций на 1 млн. населения (в среднем по Европе – 55,9, в России – 10,1, в Украине – 3,2). Доступность операций на открытом сердце в республике составила 360 на 1 млн. населения. Число операций аортокоронарного шунтирования достигло в 2016 году 1813.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Среди пациентов, получивших медицинскую помощь в Беларуси, отмечены граждане 128 стран мира. В 2016 году в организациях системы Минздрава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медуслуги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получили более 150 тыс. иностранных граждан. За январь–март 2017 г. было пролечено более 32 тыс. иностранцев.</w:t>
      </w:r>
    </w:p>
    <w:p w:rsidR="0033711A" w:rsidRPr="0033711A" w:rsidRDefault="0033711A" w:rsidP="0033711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Министерства здравоохранения Республики Беларусь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1757"/>
        <w:gridCol w:w="2717"/>
        <w:gridCol w:w="2468"/>
      </w:tblGrid>
      <w:tr w:rsidR="0033711A" w:rsidRPr="0033711A" w:rsidTr="0033711A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Пример </w:t>
            </w:r>
            <w:proofErr w:type="gramStart"/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платной</w:t>
            </w:r>
            <w:proofErr w:type="gramEnd"/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Беларусь, долл. США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Ближнее зарубежье, долл. США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Европа,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долл. США</w:t>
            </w:r>
          </w:p>
        </w:tc>
      </w:tr>
      <w:tr w:rsidR="0033711A" w:rsidRPr="0033711A" w:rsidTr="0033711A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Эндопротезирование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коленных суставов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4 300–6 200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5 000–6 000;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 – 4 200–6 000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7 000–19 200</w:t>
            </w:r>
          </w:p>
        </w:tc>
      </w:tr>
      <w:tr w:rsidR="0033711A" w:rsidRPr="0033711A" w:rsidTr="0033711A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Экстропоральное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оплодотворение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2 600–3 500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5 000–6 000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7 000–10 000</w:t>
            </w:r>
          </w:p>
        </w:tc>
      </w:tr>
      <w:tr w:rsidR="0033711A" w:rsidRPr="0033711A" w:rsidTr="0033711A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Протезирование клапанов сердца с искусственным кровообращением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 (только расходные материалы) – 3 500;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5 000–7 000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 – от 12 000 евро;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114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Европе – от 25 000 евро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2016 году экспорт медицинских услуг через все каналы реализации составил 35,2 млн. долл. США (в 2015 году – 33,5 млн. долл. США). Темп роста экспорта медицинских услуг в январе–марте 2017 г. составил 106% или 8,4 млн. долл. США. Более чем в 2 раза увеличен экспорт в Литву, Грузию, Польшу.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данным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Минспорта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2016 году в санаторно-курортных и оздоровительных организациях Беларуси размещено 190 тыс. иностранных граждан (на 17 тыс. чел. больше чем в 2015 году). Из стран СНГ размещено 178 тыс. чел. (в том числе из России 170 тыс. чел.).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Беларуси рост доходов от медицинского туризма ожидается на уровне 3–10% ежегодно в зависимости от экономической ситуации в соседних странах и, как следствие, доходов потенциальных пациентов.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Организацией медицинских туров в Беларусь занимаются специальные компании, которые учитывают все аспекты поездки.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К примеру, оператор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Med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Travel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Belarus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(ООО ”Ви энд Ви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Медикал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“) ежегодно обслуживает около 700 клиентов из-за рубежа.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Сеть стационарных санаторно-курортных и оздоровительных учреждений 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включает 52 объекта (в 2015-49) на 2 434 места единовременного размещения. Численность размещенных лиц в 2016 году всего составила 39 653 человек, из них граждане Республики Беларусь - 31 468 человек, из них дети (до 18 лет) - 12 763, 8 185 человек граждан других государств (в том числе из России 7 754 чел.).</w:t>
      </w:r>
    </w:p>
    <w:p w:rsidR="0043038C" w:rsidRDefault="0033711A" w:rsidP="0043038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1.3. Образовательный туризм</w:t>
      </w:r>
    </w:p>
    <w:p w:rsidR="0033711A" w:rsidRPr="0033711A" w:rsidRDefault="0033711A" w:rsidP="0043038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Образование, полученное в Беларуси, становится все более привлекательным для иностранных граждан.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Организациями, подчиненными Министерству образования, в 2016 году реализовано услуг на экспорт на сумму 33,6 млн. долл. США (темп роста экспорта услуг к уровню 2015 года – 99,7%), в том числе туристических услуг – 3,3 млн. долл. США; в I квартале 2017 г. – 8,2 млн. долл. США, в том числе туристических услуг – 0,7 млн. долл. США.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в учреждениях образования Республики Беларусь обучается более 20 тыс. иностранных граждан из 107 стран.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Республике Беларусь созданы образовательные программы разного уровня, представляющие интерес для иностранных граждан: бакалаврские, магистерские (на английском языке), ”двойных дипломов“, дополнительного профессионального образования, повышения квалификации, образовательные программы в сетевой форме, летние школы, курсы русского языка, дистанционное обучение и др.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 высших учебных учреждениях образования </w:t>
      </w: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обучается более 1,0 тысячи иностранных граждан из 11 стран.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 итогам работы за 2016 год объем экспорта услуг образования составил 2225,6 тыс. долларов США.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ТОП–4000 международного рейтинга университетов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Webometrics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январе 2017 г. вошли: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Белорусский государственный университет – 637 место;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Белорусский национальный технический университет –2 891 место;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УО ”Гродненский государственный университет Янки Купалы“ – 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3 122 место;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УО ”Белорусский государственный университет информатики и радиоэлектроники“ – 3 500 место.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2016–2017 годах Центром международных связей Минобразования организовано более 10 образовательных программ профессиональной мобильности для руководителей и специалистов учреждений образования России, Казахстана, Литвы и Польши. Участники программ ознакомились с опытом инновационной деятельности белорусских учреждений образования, а также с культурными и историческими достопримечательностями нашей страны.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Республиканский институт высшей школы проводит образовательный фестиваль ”Международная летняя школа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белорусистики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“. В 2015 году в нем приняли участие 30 иностранных граждан, в 2016 году – 62.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состоявшемся 7 июня 2016 г. заседании Координационного Совета по развитию дополнительного образования детей и молодежи в Республике Беларусь и Российской Федерации была утверждена Программа туристских маршрутов, рекомендованных для посещения учащимися Беларуси и России в 2016/2017 учебном году.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1.4. Спортивный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последние пять лет введено в строй более 100 объектов физкультурно-спортивного назначения.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0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Спортивная база страны включает 23,2 тыс. физкультурно-спортивных сооружений, в том числе 136 стадионов, 52 манежа, 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958 плавательных бассейнов, 35 спортивных сооружений с искусственным льдом.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Ежегодно растет количество крупных международных спортивных мероприятий, проводимых в Беларуси: 30 – в 2015 году, 67 – в 2016 году, по плану на 2017 год – более 80. В 2016 году обеспечено участие в них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10,6 тыс. чел. – представителей иностранных спортивных делегаций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(из 37 тыс. всего). Из знаковых традиционных мероприятий – Международный Минский полумарафон (33 страны), Международный биатлонный фестиваль ”Гонка легенд“ (65 стран).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Минспортом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заключено 42 соглашения о сотрудничестве в области физической культуры, спорта и туризма с 34 странами.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Республиканский календарный план проведения спортивно-массовых мероприятий на 2017 год включает 279 мероприятий различной направленности.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Дальнейшая работа нацелена на увеличение количества проводимых в нашей стране спортивных мероприятий, принимаемых на соревнования и тренировочные сборы иностранных спортсменов, а также комплексную подготовку к проведению в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инске II Европейских игр 2019 года и Чемпионата мира по хоккею с шайбой 2021 года в гг.Минске и Риге.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1.5. Экологический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Активно развивается на 26-ти особо охраняемых природных территориях (далее – ООПТ); позволяет, сохраняя природу, способствовать притоку инвестиций и росту уровня жизни сельских жителей. Система ООПТ включает 1287 объектов общей площадью 1,8 млн. га (8,7% территории Беларуси).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направления экологического туризма: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экскурсии на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болотоуступах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болотоходе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фотоохота (”зеленая охота“);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тропление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(отыскивание)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следов диких животных, наблюдение за ними (к примеру, за зубром европейским); орнитологические туры;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дайвинг;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водные походы на плотах, байдарочные сплавы; прокат плавучей дачи (на 5 чел.) и катера-понтона (на 12 чел.).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Экологический туризм имеет большие перспективы для Могилёвской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где около половины территории занято различными природными комплексами, имеющими большую природоохранную значимость.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Основой развития экологического туризма на Могилёвщине является сеть особо охраняемых природных территорий (далее – ООПТ).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425" w:right="-14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общая площадь ООПТ в Могилевской области составляет 126 955,9 га (160 ед.), что составляет 4,37 % от площади области, в том числе: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425" w:right="-143" w:firstLine="8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памятники природы местного значения – 76 ед., 1 669,3 га;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425" w:right="-143" w:firstLine="8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памятники природы республиканского значения – 14 ед., 206,5 га;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425" w:right="-143" w:firstLine="8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заказники местного значения – 66 ед., 76 464,3 га;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425" w:right="-143" w:firstLine="8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заказники республиканского значения – 4 ед., 50 285,1 га.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lastRenderedPageBreak/>
        <w:t>Перспективными центрами развития экологического туризма в Могилевской области являются заказники республиканского значения: «Старица» (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ландшафтный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), «Заозерье», «Острова Дулебы» (гидрологические).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Наибольший интерес среди памятников природы республиканского значения представляют парки: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Грудиновский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– Быховский район,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Жиличский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– Кировский район, дендрологический парк – город Горки, геологические объекты: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Нижнинский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ров – город Шклов,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Чериковское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геологическое обнажение.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В области имеется немало криниц, некоторые из них имеют природоведческую и экологическую ценность: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Полыковичская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криница – Могилевский район, Голубая криница –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Славгородский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район, криница в Пустынском монастыре – Мстиславский район. По инициативе общественного совета и при содействии Программы поддержки Беларуси Федерального правительства Германии в области реализуется проект «Край животворных криниц»», включающий серию маршрутов с различными способами передвижения по восьми районам, которые с каждым днем набирают все большую популярность среди туристов.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Особую ценность для развития природоведческих экскурсий и экологического туризма имеют дендрологический парк Белорусской государственной сельскохозяйственной академии, основанный в середине XIX века,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усадебно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-парковые комплексы в д.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Грудиновка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Быховского района, д. Дашковка Могилевского района, дворцово-парковый ансамбль в д.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Жиличи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Кировского района, городской парк в г. Шклове, заложенный в начале XX века.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1.6. Автотуризм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развития кемпингов 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караванинга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(автомобильное путешествие с проживанием в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автодомах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или автоприцепах)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функционируют 40 стоянок.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28 апреля по 1 мая 2017 г. в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инске на территории аэропорта ”Минск–1“ прошло Международное ралли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караванеров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Belarus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Home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Spirit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мероприятии приняло участие около 500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автодомов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16 стран.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 – 10 мая 2016 г. организован Международный слет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караванеров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участием 180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автодомов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(туристических прицепов), 505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караванеров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из 10 стран.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lastRenderedPageBreak/>
        <w:t>В 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в настоящее время оборудовано 3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кемперных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стоянки в Быховском, Могилевском и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Осиповичском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районах.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1.7. Кулинарный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Беларуси функционирует 235 специализированных объектов общественного питания, основанных на традициях белорусской национальной кухни,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47 расположены в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инске.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Витебская область включена в Европейскую сеть кулинарного наследия, занимающуюся популяризацией местных кулинарных особенностей, традиционных блюд и рецептов.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связи с изменением уровня покупательной способности населения и переориентацией покупательского спроса развитие инфраструктуры общественного питания происходит в основном за счет открытия объектов быстрого обслуживания (всего – 3261 объект или 38% общедоступных объектов общественного питания).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республике функционирует 578 объектов общественного питания придорожного сервиса. Наибольшее количество объектов питания расположены на дорогах в Минской (185) и Витебской (95) областях.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Беларуси начал регулярно проводиться гастрономический фестиваль ”Звезды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Michelin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Беларуси“ (октябрь 2016 г., март 2017 г.).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11–12 марта 2017 г. в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инске прошел республиканский турнир кондитерского искусства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Candy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Battle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Национальное агентство по туризму организовало и провело обучающий семинар ”По следам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Фэста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экскурсоводов – 2017“, в котором внимание было уделено использованию кулинарных мастер-классов при проведении экскурсий.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По состоянию на 1 января 2017 в </w:t>
      </w: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имеется 10 объектов общественного питания, специализирующихся на приготовлении блюд белорусской кухни: кафе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Бабулина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хата»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Белыничского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райпо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, кафе «Замок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Сапеги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» Быховского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райпо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кафе «Домашнее» ЧП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Стройтехснаб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» в г. Бобруйске, кафе «Изба» Горецкого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райпо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бар «Корчма на Шкловском базаре» ЧДТУП «Нагорный посад» в г. Могилеве и др.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lastRenderedPageBreak/>
        <w:t xml:space="preserve">30.04.2017 в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Славгородском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районе проведен VI фестиваль сельского туризма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Гаспадарчы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сыр-2017». В фестивале приняли участие более 300 гостей.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1.8. Охотничий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Развитию охотничьего туризма способствует богатство флоры и фауны Беларуси.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Охота разрешена на 50 видов диких животных, в том числе на 21 вид млекопитающих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(лось, кабан, косуля, олень, волк, лиса, заяц, белка, бобр и др.)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29 видов птиц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(глухарь, тетерев, рябчик, кряква, чирок и др.)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стране функционирует 196 охотничьих домиков (домов охотника, (рыбака), домов охотника и рыбака). Для туристов в охотхозяйствах созданы комфортные условия. В домах охотника оборудованы кухни, душевые, имеются каминные залы, бани, автостоянки, вольеры для собак.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На территории </w:t>
      </w: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активно развивается охотничий туризм, работает высококвалифицированный егерский состав, проводится индивидуальная охота.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Животный мир региона является ресурсным фактором развития охотничьего туризма. В области создано более 30 охотничьих хозяйств, значительная часть которых сосредоточена на территории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Осиповичского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Быховского, Шкловского, Могилевского районов.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Наиболее известны лесоохотничье хозяйство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Тетеринское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» площадью 82,4 тыс. га (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Круглянский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район) и охотничья база «Глухариный ток» (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Белыничский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район). Наибольшее промысловое значение в регионе имеют лось, кабан, косуля, заяц, белка, волк, лисица.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1.9. Промышленный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Беларуси организация туристических экскурсий на действующие производства находится в начале пути развития, однако обладает значительным потенциалом. Развитие промышленного туризма служит дополнительной рекламой отечественной продукции, способствует продвижению территорий их расположения на рынке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туруслуг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Многие белорусские предприятия уже осуществляют прием и обслуживание экскурсионных групп.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2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ОАО ”БЕЛАЗ“ – управляющая компания холдинга ”БЕЛАЗ-ХОЛДИНГ“, ОАО ”МТЗ“, ОАО ”МАЗ“, ОАО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Крыница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ОАО ”Пивзавод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Оливария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ОАО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Слодыч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ЗАО ”Атлант“, СОАО ”Коммунарка“, ОАО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Элема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ОАО ”Минский завод безалкогольных напитков“, ОАО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Амкодор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 – управляющая компания холдинга“, КУП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Минскхлебпром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 (хлебозавод № 6), ОАО ”Минский завод игристых вин“, ОАО ”Минский комбинат хлебопродуктов“, ОАО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Верхнедвинский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маслосырзавод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ОАО ”Витебский картонажно-полиграфический комбинат Покровский“, СООО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Двинский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Бровар“, ОАО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Рудаково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ПУП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”Полоцкие напитки и концентраты“.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 2016 году туристическими организациями Могилевской области осуществлялись экскурсионные туры на отдельные предприятия.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ГКУП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Могилевоблтурист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» осуществляет экскурсионные туры в ОАО «Александрийское» Шкловского района с посещением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фруктохранилища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где промышленный туризм введен как отдельная услуга. За последние 3 года организовано более 20 экскурсий, хозяйство посетило более 1000 человек из стран СНГ, Балтии.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На СООО «Оазис групп» (г. Бобруйск), специализирующемся на производстве соков, минеральной воды и детского питания с января 2017 года были организованы 4 экскурсии, в которых приняли участие 60 человек.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На ОАО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Белшина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» (г. Бобруйск) реализуется проект по созданию музея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Белшина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»: история и современность», который планируется открыть в мае-июне 2017 года.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Прием делегаций с обзорными экскурсиями по производству осуществляется в ряде предприятий области: ОАО «Бабушкина крынка», СООО «Оазис групп», ОАО «Лента», ОАО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Моготекс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», ОАО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Могилевхимволокно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», УЧНПП «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Технолит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», СЭЗ «Могилев». Однако посещение предприятий делегациями не является отдельным видом услуг, доступным населению и гостям области. Посещение организуется, как правило, согласно предварительным договоренностям.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1.10. Военно-исторический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в моду входит форт-туризм – поездки в страны и города, где проходили знаменитые сражения разных времен и народов. Иностранным и белорусским туристам предоставлена возможность посетить Брестскую крепость и Линию Сталина, места боев Первой мировой войны, памятники в честь сражений с французами и шведами, памятные знаки о битвах далекого средневековья.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Ежегодно проходят средневековые фестивали («Эпоха рыцарства», «Наш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Грюнвальд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«Рыцари четырех эпох», «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Гонару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Продкаў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2017», «Путь Викингов», «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Менск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старажытны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 др.). Реконструируются битвы разных времен – от разгрома армии Наполеона до сражений Великой Отечественной войны.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 тематической структуре экскурсионного обслуживания </w:t>
      </w: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доминирует военно-историческая тематика: маршруты «Солдатами были все» (мемориал на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Буйничском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поле), «Оборона города Могилева», «Героям 1812 г.» (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д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.С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олтановка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), «Мать Полтавской баталии» (д. Лесная), «Дорогой боевого содружества» (музей советско-польской боевой славы в п. Ленино).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1.11. Религиозный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Беларуси переплелись традиции Востока и Запада, каждая из религий оставила свой духовный и материальный след на белорусской земле. В нашей стране зарегистрировано 26 религиозных конфессий и направлений. Общая численность действующих в Беларуси культовых зданий составляет свыше 2,6 тыс.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Очистить душу, открыть для себя благодать святых мест, прикоснуться к чудотворным иконам, приобрести новый духовный опыт – все это можно сделать в рамках экскурсионных и туристических маршрутов религиозной тематики.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Желающие стать настоящими пилигримами и совершить сакральное паломничество с молитвами и постом, участием в службах и беседой с духовным наставником могут обратиться в паломнические отделы белорусских православных и католических епархий, Иудейское религиозное объединение.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lastRenderedPageBreak/>
        <w:t xml:space="preserve">В Могилевской области разработано 8 туристско-экскурсионных маршрутов религиозной тематики (в городах Могилеве, Бобруйске,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Климовичскиом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Краснопольском, Кричевском, Мстиславском, Хотимском районах).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2. Туристическая индустрия Республики Беларусь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Министерства спорта и туризма Республики Беларусь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222"/>
        <w:gridCol w:w="1079"/>
        <w:gridCol w:w="1106"/>
        <w:gridCol w:w="1078"/>
        <w:gridCol w:w="1264"/>
        <w:gridCol w:w="1131"/>
        <w:gridCol w:w="1260"/>
      </w:tblGrid>
      <w:tr w:rsidR="0033711A" w:rsidRPr="0033711A" w:rsidTr="0033711A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Санаторно-курортные и оздоровительные организации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Гостиницы и аналогичные средства размещения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55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охотников и охотничьи хозяйства (количество)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109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Агро-усадьбы (количество)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73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Стоянки для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кемперов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(количество)</w:t>
            </w:r>
          </w:p>
        </w:tc>
      </w:tr>
      <w:tr w:rsidR="0033711A" w:rsidRPr="0033711A" w:rsidTr="003371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109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вмести-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-102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вмести-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711A" w:rsidRPr="0033711A" w:rsidTr="003371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49 043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3711A" w:rsidRPr="0033711A" w:rsidTr="003371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3711A" w:rsidRPr="0033711A" w:rsidTr="003371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36 951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3711A" w:rsidRPr="0033711A" w:rsidTr="003371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01.01.17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3711A" w:rsidRPr="0033711A" w:rsidTr="003371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(ед. / 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/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101,3 %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-116 /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100,2%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/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1 662 /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 /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71,3 %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/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100,7 %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/ 0</w:t>
            </w:r>
          </w:p>
        </w:tc>
      </w:tr>
      <w:tr w:rsidR="0033711A" w:rsidRPr="0033711A" w:rsidTr="0033711A"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Могилевская область</w:t>
            </w:r>
          </w:p>
        </w:tc>
      </w:tr>
      <w:tr w:rsidR="0033711A" w:rsidRPr="0033711A" w:rsidTr="0033711A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01.01.2017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2016 год характеризуется ростом количества: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санаторно-курортных и оздоровительных организаций – на 1,3%;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гостиниц и аналогичных средств размещения – на 5,9%;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агроусадеб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на 0,7%.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итогам 2016 года Беларусь заняла 1-е место в номинации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Агротуризм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 рейтинга 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National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Geographic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Traveler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Awards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2016 среди лучших туристических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дестинаций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1-е место по популярности в сфере гастрономического туризма у российских туристов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(рейтинг сервиса поиска отелей RoomGuru.ru).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Национальная авиакомпания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Belavia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заняла 7-е место среди мировых авиакомпаний, разделив данную позицию с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Cathay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Pacific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Etihad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KLM,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Qatar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Airways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Ryanair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Singapore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Airlines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Aeroflot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июле 2017 г. впервые в нашей стране состоится международная конференция по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брендингу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(последовательное создание популярного бренда)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участием генерального секретаря UNWTO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Талеба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Рифаи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зарубежных экспертов.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3. Въездной туризм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3.1. Безвизовый порядок въезда в Республику Беларусь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12 июня 2015 г. в соответствии с Указом Президента Республики Беларусь от 9 марта 2015 г. № 115 (далее – Указ № 115) для иностранных граждан установлен безвизовый порядок въезда в Республику Беларусь, выезда из Республики Беларусь и временного пребывания в туристических целях на срок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до 3-х суток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территории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Национального парка ”Беловежская пуща“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пересечении Государственной границы Республики Беларусь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иностранными гражданами в рамках Указа № 115 (по состоянию на 06.05.2017)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Государственного пограничного комитета Республики Беларусь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5926"/>
      </w:tblGrid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Въезд</w:t>
            </w:r>
          </w:p>
        </w:tc>
      </w:tr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</w:tr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</w:t>
            </w:r>
          </w:p>
        </w:tc>
      </w:tr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 2017 года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26 октября 2016 г. вступил в силу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aps/>
          <w:color w:val="000000"/>
          <w:sz w:val="30"/>
          <w:lang w:eastAsia="ru-RU"/>
        </w:rPr>
        <w:t>У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каз</w:t>
      </w:r>
      <w:r w:rsidRPr="0033711A">
        <w:rPr>
          <w:rFonts w:ascii="Times New Roman" w:eastAsia="Times New Roman" w:hAnsi="Times New Roman" w:cs="Times New Roman"/>
          <w:caps/>
          <w:color w:val="000000"/>
          <w:sz w:val="30"/>
          <w:lang w:eastAsia="ru-RU"/>
        </w:rPr>
        <w:t> П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резидента</w:t>
      </w:r>
      <w:r w:rsidRPr="0033711A">
        <w:rPr>
          <w:rFonts w:ascii="Times New Roman" w:eastAsia="Times New Roman" w:hAnsi="Times New Roman" w:cs="Times New Roman"/>
          <w:caps/>
          <w:color w:val="000000"/>
          <w:sz w:val="30"/>
          <w:lang w:eastAsia="ru-RU"/>
        </w:rPr>
        <w:t> Р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еспублики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aps/>
          <w:color w:val="000000"/>
          <w:sz w:val="30"/>
          <w:lang w:eastAsia="ru-RU"/>
        </w:rPr>
        <w:t>Б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еларусь от 23 августа 2016 г. № 318 (далее – Указ № 318), в соответствии с которым иностранные граждане могут пересекать Государственную границу без виз для пребывания в туристических целях на срок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до 5-ти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суток на территории специального туристско-рекреационного парка ”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Августовский канал“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прилегающих к нему территориях.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пересечении Государственной границы Республики Беларусь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иностранными гражданами в рамках Указа № 318 (по состоянию на 06.05.2017)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5926"/>
      </w:tblGrid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Въезд</w:t>
            </w:r>
          </w:p>
        </w:tc>
      </w:tr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2229</w:t>
            </w:r>
          </w:p>
        </w:tc>
      </w:tr>
      <w:tr w:rsidR="0033711A" w:rsidRPr="0033711A" w:rsidTr="0033711A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 2017 года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9984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соответствии с Указом Президента Республики Беларусь от 9 января 2017 г. № 8 (далее – Указ № 8) установлен безвизовый порядок 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для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прибывающих в нашу страну через Национальный аэропорт Минск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иностранных граждан 80 стран на срок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 более 5-ти суток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пересечении Государственной границы Республики Беларусь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иностранными гражданами в рамках Указа № 8 (по состоянию на 06.05.2017)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5160"/>
      </w:tblGrid>
      <w:tr w:rsidR="0033711A" w:rsidRPr="0033711A" w:rsidTr="0033711A">
        <w:tc>
          <w:tcPr>
            <w:tcW w:w="4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33711A" w:rsidRPr="0033711A" w:rsidTr="003371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въезд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16 017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отдельным странам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(всего – 62 страны)</w:t>
            </w: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2 512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1 625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</w:tr>
      <w:tr w:rsidR="0033711A" w:rsidRPr="0033711A" w:rsidTr="0033711A">
        <w:tc>
          <w:tcPr>
            <w:tcW w:w="4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5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последние три года</w:t>
      </w:r>
      <w:r w:rsidRPr="0033711A">
        <w:rPr>
          <w:rFonts w:ascii="Times New Roman" w:eastAsia="Times New Roman" w:hAnsi="Times New Roman" w:cs="Times New Roman"/>
          <w:color w:val="FF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отменены визы между Республикой Беларусь и Израилем, ОАЭ, Катаром и Турцией.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20" w:line="240" w:lineRule="auto"/>
        <w:ind w:left="7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 данным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Минспорта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в сравнении с 2015 годом почти в 2 раза увеличилось количество посещений Республики Беларусь гражданами Израиля (22,6 тыс. чел.), в 1,4 раза – гражданами Турции 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(29,5 тыс. чел.), на 15,5% увеличилось количество туристических прибытий из Китая (20 тыс. чел.).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Президент Республики Беларусь А.Г.Лукашенко и Председатель КНР Си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Цзиньпин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ходе состоявшихся 16 мая 2017 г. в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.П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екине переговоров обсудили, в том числе, возможность взаимного введения безвизового режима до 30-ти дней. Главы государств поручили компетентным органам предметно проработать этот вопрос.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3.2. Основные показатели въездного туризма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настоящее время в нашей стране отсутствует система подсчета въезжающих туристов. Прежде всего, это связано с отсутствием у Беларуси пограничного контроля с Российской Федерацией. При этом удельный вес российских граждан в общем объеме экспорта туристических услуг составляет до 70%.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связи с этим в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Минспорта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ведется работа по внедрению т.н. Вспомогательного счета туризма. В дальнейшем будет возможно уточнить количество прибывающих в нашу страну иностранных граждан, их расходов на территории страны, что позволит рассчитать реальный вклад туризма в ВВП Беларуси.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Национального статистического комитета Республики Беларусь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519"/>
        <w:gridCol w:w="2405"/>
        <w:gridCol w:w="539"/>
        <w:gridCol w:w="1397"/>
        <w:gridCol w:w="3015"/>
      </w:tblGrid>
      <w:tr w:rsidR="0033711A" w:rsidRPr="0033711A" w:rsidTr="0033711A">
        <w:trPr>
          <w:tblHeader/>
        </w:trPr>
        <w:tc>
          <w:tcPr>
            <w:tcW w:w="4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5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33711A" w:rsidRPr="0033711A" w:rsidTr="0033711A">
        <w:trPr>
          <w:tblHeader/>
        </w:trPr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иностранных граждан, посетивших Беларусь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иностранных граждан, посетивших Беларусь</w:t>
            </w:r>
          </w:p>
        </w:tc>
      </w:tr>
      <w:tr w:rsidR="0033711A" w:rsidRPr="0033711A" w:rsidTr="0033711A"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4 385 596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4 181 267</w:t>
            </w:r>
          </w:p>
        </w:tc>
      </w:tr>
      <w:tr w:rsidR="0033711A" w:rsidRPr="0033711A" w:rsidTr="0033711A"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Топ-10 стран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Топ-10 стран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1 460 342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1 192 060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980 186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1 188 160 (рост 121,2 %)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583 743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528 201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466 552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420 523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330 261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255 385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120 532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126 456 (рост 104,9 %)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41 729 (рост 104 %)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35 820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34 792</w:t>
            </w:r>
          </w:p>
        </w:tc>
      </w:tr>
      <w:tr w:rsidR="0033711A" w:rsidRPr="0033711A" w:rsidTr="0033711A">
        <w:trPr>
          <w:trHeight w:val="7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22 075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29 581 (рост 137 %)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21 527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Израиль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22 648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(2015 год – 11 893, рост 190 %)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Стоимость туров по въездному туризму, оплаченных туристами, увеличилась на 66,2% с 26 041 тыс. руб. в 2015 году до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43 278 тыс. руб. в 2016 году. При этом стоимость туров по въездному туризму, оплаченных экскурсантами, увеличилась на 257,9% с 1 479 тыс. руб. в 2015 году до 3 815 тыс. руб. в 2016 году.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Экспорт туристических услуг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составил: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2015 году – 159,7 млн. долл. США (61,5 % к уровню 2014 года);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2016 году – 160 млн. долл. США (105,6 % к уровню 2015 года);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I квартале 2017 г. – 33,5 млн. долл. США (124,8 % к аналогичному периоду 2016 года).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Данные Главного статистического управления Могилевской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523"/>
        <w:gridCol w:w="2409"/>
        <w:gridCol w:w="540"/>
        <w:gridCol w:w="1391"/>
        <w:gridCol w:w="3020"/>
      </w:tblGrid>
      <w:tr w:rsidR="0033711A" w:rsidRPr="0033711A" w:rsidTr="0033711A">
        <w:trPr>
          <w:tblHeader/>
        </w:trPr>
        <w:tc>
          <w:tcPr>
            <w:tcW w:w="4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2015 год</w:t>
            </w:r>
          </w:p>
        </w:tc>
        <w:tc>
          <w:tcPr>
            <w:tcW w:w="5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</w:tr>
      <w:tr w:rsidR="0033711A" w:rsidRPr="0033711A" w:rsidTr="0033711A">
        <w:trPr>
          <w:tblHeader/>
        </w:trPr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Численность иностранных граждан, посетивших Могилевскую область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Численность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иностранных граждан, посетивших Беларусь</w:t>
            </w:r>
          </w:p>
        </w:tc>
      </w:tr>
      <w:tr w:rsidR="0033711A" w:rsidRPr="0033711A" w:rsidTr="0033711A"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3 077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7 895</w:t>
            </w:r>
          </w:p>
        </w:tc>
      </w:tr>
      <w:tr w:rsidR="0033711A" w:rsidRPr="0033711A" w:rsidTr="0033711A">
        <w:tc>
          <w:tcPr>
            <w:tcW w:w="2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Топ-10 стран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Топ-10 стран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2 698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6 323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714 (рост на 903,8%)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 (рост на 342,9%)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Черногория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33711A" w:rsidRPr="0033711A" w:rsidTr="0033711A">
        <w:trPr>
          <w:trHeight w:val="7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Экспорт туристических услуг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 составил: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 2015 году – 4 млн. 418,2 тысяч долл. США (59,5 % к уровню 2014 года);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 2016 году – 4 млн. 349 тысяч долл. США (97,2 % к уровню 2015 года);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за 4 месяца 2017 г. – 1 млн. 143 тысячи долл. США (113,2 % к аналогичному периоду 2016 года).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3.3. Основные показатели выездного туризма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2016 году за рубеж выехало 6,9 млн. белорусских граждан.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Национального статистического комитета Республики Беларусь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362"/>
        <w:gridCol w:w="1303"/>
        <w:gridCol w:w="652"/>
        <w:gridCol w:w="2193"/>
        <w:gridCol w:w="2353"/>
      </w:tblGrid>
      <w:tr w:rsidR="0033711A" w:rsidRPr="0033711A" w:rsidTr="0033711A">
        <w:trPr>
          <w:tblHeader/>
        </w:trPr>
        <w:tc>
          <w:tcPr>
            <w:tcW w:w="9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Топ-5 стран по выезду из Беларуси организованных туристов</w:t>
            </w:r>
          </w:p>
        </w:tc>
      </w:tr>
      <w:tr w:rsidR="0033711A" w:rsidRPr="0033711A" w:rsidTr="0033711A">
        <w:trPr>
          <w:tblHeader/>
        </w:trPr>
        <w:tc>
          <w:tcPr>
            <w:tcW w:w="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год, чел.</w:t>
            </w:r>
          </w:p>
        </w:tc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год, чел.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71 503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130 517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58 745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111 840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57 735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85 263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45 919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79 216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41 929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75 184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По данным Главного статистического управления Могилевской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360"/>
        <w:gridCol w:w="1306"/>
        <w:gridCol w:w="652"/>
        <w:gridCol w:w="2191"/>
        <w:gridCol w:w="2354"/>
      </w:tblGrid>
      <w:tr w:rsidR="0033711A" w:rsidRPr="0033711A" w:rsidTr="0033711A">
        <w:trPr>
          <w:tblHeader/>
        </w:trPr>
        <w:tc>
          <w:tcPr>
            <w:tcW w:w="9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Топ-5 стран по выезду из Могилевской области организованных туристов</w:t>
            </w:r>
          </w:p>
        </w:tc>
      </w:tr>
      <w:tr w:rsidR="0033711A" w:rsidRPr="0033711A" w:rsidTr="0033711A">
        <w:trPr>
          <w:tblHeader/>
        </w:trPr>
        <w:tc>
          <w:tcPr>
            <w:tcW w:w="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2016 год, чел.</w:t>
            </w:r>
          </w:p>
        </w:tc>
        <w:tc>
          <w:tcPr>
            <w:tcW w:w="5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2015 год, чел.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8062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6382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4523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4335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Египет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1673</w:t>
            </w:r>
          </w:p>
        </w:tc>
      </w:tr>
      <w:tr w:rsidR="0033711A" w:rsidRPr="0033711A" w:rsidTr="0033711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1092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Как отмечают в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Минспорта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имеющаяся статистика по выезду туристов не совсем корректно отражает действующую ситуацию.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учетом выгодных пакетов, включающих дешевые перелеты, белорусы активно приобретают путевки у зарубежных туроператоров и вылетают на отдых из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осквы, г.Киева, г.Вильнюса.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2016 году выездной туризм характеризовался некоторым падением в сравнении с 2015 годом. Так, стоимость туров, оплаченных: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туристами – снизилась на 14,4% с 454 096 тыс. руб. до 388 829 тыс. руб.;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экскурсантами – снизилась на 54,6% с 2 023 тыс. руб. до 919 тыс. руб.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3.4. Основные показатели внутреннего туризма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2016 году численность организованных туристов и экскурсантов, отправленных по маршрутам в пределах территории Республики Беларусь, составила 1 001,8 тыс. чел. (увеличилась почти на 20% в сравнении с 2015 годом).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 прошлом году другие показатели внутреннего туризма практически не изменились в сравнении с 2015 годом.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 стоимость туров, оплаченных: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туристами – 13 420 тыс. руб. (в 2015 году – 13 629 тыс. руб., темп роста 98%);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экскурсантами – 12 319 тыс. руб. (в 2015 году – 11 002 тыс. руб., темп роста 112%).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Выручка от оказания туристических услуг (за вычетом налогов и сборов, включенных в выручку) в 2016 году возросла на 21% и составила 136 628 тыс. руб. (2015 год – 112 955 тыс. руб.).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0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2016 году посещаемость 151 музейного учреждения системы Министерства культуры составила 6 250 тыс. чел. (+1,5 % к 2015 году). 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Самыми посещаемыми стали музей истории Великой Отечественной войны (560 тыс. чел.), ”Брестская крепость-герой“ (423 тыс. чел.), музей-заповедник ”Несвиж“ (412 тыс. чел.), Национальный исторический музей Республики Беларусь (395 тыс. чел.), Гомельский дворцово-парковый ансамбль (325 тыс. чел.), музей ”Замковый комплекс ”Мир“ (285 тыс. чел.).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4. Инвестиционная деятельность в сфере туризма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Республике Беларусь создана необходимая законодательная база для осуществления инвестиций в туризм с использованием льгот и преференций. В регионах реализуется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21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инвестиционный проект, среди которых преобладают проекты по строительству оздоровительно-туристических комплексов.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 последнее время введен ряд современных туристических объектов. 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Среди них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агротуристический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комплекс ”Наносы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noBreakHyphen/>
        <w:t xml:space="preserve">Новоселье“ в Минской области,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экотуристический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комплекс ”Николаевские пруды“ в Могилевской области, туристический комплекс ”Красный бор“ и санаторно-курортный комплекс ”Плисса“ в Витебской области, санаторий ”Альфа Радон“ в Гродненской области и многие другие.</w:t>
      </w:r>
      <w:proofErr w:type="gramEnd"/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данным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Минспорта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настоящее время осуществляется поиск инвесторов по 89 инвестиционным предложениям по строительству объектов придорожного сервиса и гостиниц.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 2016 году в Могилевской области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завершено строительство- туристско-гостиничного комплекса «Зеленый городок» у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д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.С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алтановка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Могилевского района (инвестиционный объект).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В стадии реализации находятся два проекта: «Туристический комплекс в районе деревни Короткие Быховского района»; «Строительство туристического комплекса в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Осиповичском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районе».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Ведется работа по привлечению инвестиций в сферу туризма.</w:t>
      </w:r>
    </w:p>
    <w:p w:rsid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lastRenderedPageBreak/>
        <w:t>5. Доступность услуг по организации внутреннего туризма для белорусских граждан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Ведущими туристическими операторами страны (РУП ”ЦЕНТРКУРОРТ“, ТЭУП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Беларустурист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“, ОАО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Белагротревел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“,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Виаполь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“,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Прайм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Тур“, ”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НОВА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ТУР“ и др.) разработаны и регулярно обновляются доступные туристические программы для жителей Беларуси.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Широкий набор экскурсий позволяет познакомиться с наиболее известными достопримечательностями нашей страны (Мирским и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Несвижским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замками, музейным комплексом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Дудутки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“, мемориальными комплексами Брестская крепость-герой, Хатынь, Курган Славы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т.д.). Данные виды экскурсий реализуются как в виде еженедельных сборных экскурсий, так и предоставляются для организованных групп.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оборот вводятся объекты промышленного туризма (”БЕЛАЗ: в мире гигантов“, ”Столица белорусского пивоварения“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(г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.Л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ида)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экскурсия на кондитерские фабрики ”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Слодыч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“ и ”Коммунарка“ и т.д.).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Параллельно с развитием однодневных экскурсий туроператоры разрабатывают многодневные экскурсионные туры по Беларуси, продолжительностью от 2-х до 5-ти дней.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Среди новых маршрутов: 3-х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дневный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байдарочный ”Полоцкое княжество: малыми реками к главной реке Двине“, трансграничный Витебск –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Здравнево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Полоцк – Мир – Несвиж – Бобруйск – Николаевские пруды – Орша – Смоленск.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6. Маркетинговые мероприятия в сети Интернет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Белорусские и иностранные граждане могут самостоятельно выбрать экскурсию либо туристический маршрут посредством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специализированных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веб-ресурсов.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Некоторые примеры: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официальный туристический портал Беларуси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hyperlink r:id="rId5" w:tgtFrame="_blank" w:history="1">
        <w:r w:rsidRPr="0033711A">
          <w:rPr>
            <w:rFonts w:ascii="Times New Roman" w:eastAsia="Times New Roman" w:hAnsi="Times New Roman" w:cs="Times New Roman"/>
            <w:b/>
            <w:bCs/>
            <w:color w:val="0000FF"/>
            <w:sz w:val="30"/>
            <w:u w:val="single"/>
            <w:lang w:eastAsia="ru-RU"/>
          </w:rPr>
          <w:t>www.belarus.travel</w:t>
        </w:r>
      </w:hyperlink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Национальное агентство по туризму Республики Беларусь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www.belarustourism.by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РУП «ЦЕНТРКУРОРТ»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www.otpusk.by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сервисы онлайн бронирования туристических услуг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vetliva.by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teztour.com, topbelarus.com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др.;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веб-портал ”Экскурсии“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ekskursii.by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сайт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агротуризма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belkraj.by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интернет-проект ”Клиники Беларуси“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clinicsbel.by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сайт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караванеров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автотуристов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caravaning.by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Благодаря современным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интернет-платформам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мобильным приложениям можно организовать самостоятельное путешествие, не выходя из дома: забронировать билеты, оплатить гостиницу либо квартиру, оплатить экскурсии и т.д.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В целях популяризации всех видов туризма Могилевщины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 информация размещается и регулярно обновляется на сайтах: 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Могилевского облисполкома www.region.mogilev.by, управления спорта и туризма облисполкома www.fst.by,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горрайисполкомов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областном сайте krynica.by, республиканском сайте www.belekotur.ru, Могилевского государственного производственного лесохозяйственного объединения plho.mogilev.by.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7. Мероприятия в Беларуси в 2017 году для туристов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течение года в Республике Беларусь запланировано к проведению около 800 культурных, спортивных, туристических и музыкальных мероприятий.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сайте Министерства спорта и туризма размещен календарь основных туристических мероприятий на 2017 год (в г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инске и областях). Он доступен по ссылке: http://mst.gov.by/ru/tourists-belarus-ru.</w:t>
      </w:r>
    </w:p>
    <w:p w:rsidR="0033711A" w:rsidRPr="0033711A" w:rsidRDefault="0033711A" w:rsidP="0033711A">
      <w:pPr>
        <w:shd w:val="clear" w:color="auto" w:fill="FFFFFF"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Среди знаковых событий, которые пройдут в нашей стране 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III квартале 2017 г., выделяются: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международный фестиваль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Александрыя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збірае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сяброў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 (Шкловский район, д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.А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лександрия, 8–9 июля);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VI Международный марафон Дружбы ”Гродно-Друскининкай“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(8–9 июля);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Международный фестиваль искусств ”Славянский базар в Витебске“ (г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.В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итебск, 11–19 июля);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III этап Чемпионата Беларуси по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дрифтингу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(ГСОК ”Логойск“, 23 июля);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праздник средневековой культуры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Рыцарскі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фэст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 (г. Мстиславль, 29 июля);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фестиваль ”Путь Викингов 2017“ (Минская область,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усадебно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-парковый комплекс ”Парк истории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Сула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“,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Столбцовский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район,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.С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ула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19–20 августа);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фестиваль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Mirum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Music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Festival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2017 (Музей ”Замковый комплекс ”Мир“, г.п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ир, 19 августа);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автобои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(гора ”Олимп“,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аг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.К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оробчицы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Гродненский р-н, 19 августа);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фолк-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фест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Камяніца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 (Минский р-н, д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.О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зерцо, 9 сентября);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международный турнир по силовому экстриму MINSK OPEN </w:t>
      </w:r>
      <w:r w:rsidRPr="0033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CUP – 2017 (г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инск, 9 сентября);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бразильско-белорусский стрит-арт фестиваль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Vulica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Brasil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(г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инск, сентябрь);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международный биатлонный фестиваль ”Гонка легенд – звезды биатлона за мир“ (ОСК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Раубичи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“, сентябрь);</w:t>
      </w:r>
    </w:p>
    <w:p w:rsidR="0033711A" w:rsidRPr="0033711A" w:rsidRDefault="0033711A" w:rsidP="0033711A">
      <w:pPr>
        <w:shd w:val="clear" w:color="auto" w:fill="FFFFFF"/>
        <w:spacing w:after="0" w:line="240" w:lineRule="auto"/>
        <w:ind w:left="70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H.O.G.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Rally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Minsk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2017: Закрытие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мотосезона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Harley-Davidson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.М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инск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сентябрь).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0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Календарь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основных туристических событий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left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Могилевской области на 2017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210"/>
        <w:gridCol w:w="2350"/>
        <w:gridCol w:w="1847"/>
      </w:tblGrid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молодежный театральный форум «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М@арт</w:t>
            </w:r>
            <w:proofErr w:type="gram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онтакт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20-28 марта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фестиваль сельского туризма «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Гаспадарчы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сыр-2017»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Славгород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детского творчества «Золотая пчелка»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Климовичи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мая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духовной музыки «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Магутны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Божа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июня – начало июля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народного творчества «Венок дружбы»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июня-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июля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«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Александрыя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збі</w:t>
            </w:r>
            <w:proofErr w:type="gram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</w:t>
            </w:r>
            <w:proofErr w:type="spellEnd"/>
            <w:proofErr w:type="gram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сяброў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Шкловский район,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Александрия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 июля</w:t>
            </w:r>
          </w:p>
        </w:tc>
      </w:tr>
      <w:tr w:rsidR="0033711A" w:rsidRPr="0033711A" w:rsidTr="0033711A">
        <w:trPr>
          <w:trHeight w:val="1207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Международный музыкально-спортивный праздник «Большая бард-рыбалка»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Быховский район,</w:t>
            </w:r>
          </w:p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Грудичино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 июля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средневековой культуры «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Рыцарскі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фэст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Мстиславль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 праздник «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Макаў’е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 памятника природы «Голубая криница»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Славгородский</w:t>
            </w:r>
            <w:proofErr w:type="spellEnd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урочище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Клины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августа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фестиваль анимационных фильмов «Анимаевка-2017»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33711A" w:rsidRPr="0033711A" w:rsidTr="0033711A"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фестиваль тружеников села «Дожинки 2017»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Кличев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3711A" w:rsidRPr="0033711A" w:rsidTr="0033711A">
        <w:trPr>
          <w:trHeight w:val="575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12.​ 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музыкальный фестиваль «Золотой шлягер»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711A" w:rsidRPr="0033711A" w:rsidRDefault="0033711A" w:rsidP="00337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</w:tbl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8. Перспективы развития туристической отрасли Беларуси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прогнозам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Минспорта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туроператоров, 2017-й станет годом роста национального туррынка по сравнению с 2015 и 2016 годами.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Сегодня в Беларуси туристам предлагаются не только экскурсии либо оздоровление, но и т.н. MICE-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улуги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от англ.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Meetings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Incentives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Conferences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,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Exhibitions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– область индустрии делового туризма, связанная с организацией и проведением различных корпоративных мероприятий)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 программы в сферах спортивного, паломнического, охотничьего и промышленного туризма.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трендов 2017 года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рост популярности экотуризма, событийного и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бизнес-туризма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 самостоятельного бронирования поездок.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результате проведенной работы по внесению изменений в правила оказания </w:t>
      </w:r>
      <w:proofErr w:type="spell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туруслуг</w:t>
      </w:r>
      <w:proofErr w:type="spell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прогнозируется рост сегмента онлайн-продаж. 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целом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Государственной программой ”Беларусь гостеприимная“ в 2016–2020 годах предусмотрено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увеличение экспорта туристических услуг с 154,1 млн. долл. США в 2015 году до 180,9 млн. долл. США в 2020 году;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увеличение численности туристов и экскурсантов, отправленных по маршрутам в пределах территории Республики Беларусь, с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732 тыс. чел. в 2016 году до 793 тыс. чел. в 2020 году;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увеличение численности иностранных граждан, посетивших Республику Беларусь, с 4 386 тыс. чел. в 2015 году до 4 842 тыс. чел.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 2020 году;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увеличение количества организованных туристов и экскурсантов, посетивших Республику Беларусь, с 276,3 тыс. чел. в 2015 году до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305 тыс. чел. в 2020 году.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заявил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Президент Беларуси А.Г.Лукашенко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время состоявшейся 24 марта 2017 г. рабочей поездки в Гродненскую область, ”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главное достояние страны – это ее природа и люди.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Многие туристы стремятся в Беларусь за покоем и тишиной“. ”Сохраните эту чистоту и доброту наших белорусских сердец!“, – призвал Глава государства.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Управление спорта и туризма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Могилевского облисполкома</w:t>
      </w:r>
    </w:p>
    <w:p w:rsidR="0033711A" w:rsidRDefault="0033711A" w:rsidP="0033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</w:p>
    <w:p w:rsidR="0033711A" w:rsidRDefault="0033711A" w:rsidP="0033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ФИНАНСОВАЯ ГРАМОТНОСТЬ: ОСНОВЫ ЗНАНИЙ</w:t>
      </w:r>
    </w:p>
    <w:p w:rsidR="0033711A" w:rsidRPr="0033711A" w:rsidRDefault="0033711A" w:rsidP="00337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 ПРАКТИЧЕСКИХ НАВЫКОВ В ОБЛАСТИ ФИНАНСОВ НЕОБХОДИМЫ ВСЕМ ГРАЖДАНАМ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последнее десятилетие во многих странах мира, в том числе и в Беларуси, большое внимание уделяется вопросам повышения финансовой грамотности населения. Это связано, прежде всего, с тем, что рост уровня финансовой грамотности необходим для улучшения уровня жизни граждан и предотвращения затруднительных жизненных ситуаций, роста общественного благосостояния, потребления финансовых услуг, развития экономики.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Основными целями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национальной стратегии по финансовому образованию являются: повышение мотивации населения к росту благосостояния через финансовое просвещение; формирование привычки к сбережениям, планированию личного и семейного бюджета; выработка устойчивых правил, помогающих избегать многих опасностей и ошибок в финансовой сфере; содействие доступности финансовых услуг и вовлеченности населения в их осознанное использование; усиление взаимодействия различных ведомств и организаций с целью реализации программ финансового просвещения.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Финансово грамотный человек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отличается определенной степенью осведомленности в финансовых вопросах, умением зарабатывать и управлять деньгами.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Разумность финансового поведения подтверждается соблюдением следующих основных правил:</w:t>
      </w:r>
    </w:p>
    <w:p w:rsidR="0033711A" w:rsidRPr="0033711A" w:rsidRDefault="0033711A" w:rsidP="0033711A">
      <w:pPr>
        <w:shd w:val="clear" w:color="auto" w:fill="FFFFFF"/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ведение учета собственных доходов и расходов (важно знать: какой доход получен, на что потрачены деньги, какова разница между доходами и расходами, как приумножить для достижения будущих финансовых целей то, что осталось);</w:t>
      </w:r>
    </w:p>
    <w:p w:rsidR="0033711A" w:rsidRPr="0033711A" w:rsidRDefault="0033711A" w:rsidP="0033711A">
      <w:pPr>
        <w:shd w:val="clear" w:color="auto" w:fill="FFFFFF"/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сбережений (финансово грамотный человек не больше, чем может заработать: он умеет жить на заработанные деньги и сберегать свободные денежные средства (минимум 10% ежемесячно);</w:t>
      </w:r>
    </w:p>
    <w:p w:rsidR="0033711A" w:rsidRPr="0033711A" w:rsidRDefault="0033711A" w:rsidP="0033711A">
      <w:pPr>
        <w:shd w:val="clear" w:color="auto" w:fill="FFFFFF"/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свободное ориентирование в мире финансов (знать, где найти необходимую информацию, уметь оценивать надежность источников, следить за ситуацией на финансовых рынках, разбираться в особенностях различных финансовых продуктов и услуг);</w:t>
      </w:r>
    </w:p>
    <w:p w:rsidR="0033711A" w:rsidRPr="0033711A" w:rsidRDefault="0033711A" w:rsidP="0033711A">
      <w:pPr>
        <w:shd w:val="clear" w:color="auto" w:fill="FFFFFF"/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осуществление рационального выбора финансовых услуг (необходимо интересоваться надежностью финансовых организаций, чтобы не потерять свои деньги);</w:t>
      </w:r>
    </w:p>
    <w:p w:rsidR="0033711A" w:rsidRPr="0033711A" w:rsidRDefault="0033711A" w:rsidP="0033711A">
      <w:pPr>
        <w:shd w:val="clear" w:color="auto" w:fill="FFFFFF"/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информированность о защите прав потребителей финансовых услуг (знать, куда нужно обратиться, если права потребителя на финансовом рынке нарушены);</w:t>
      </w:r>
    </w:p>
    <w:p w:rsidR="0033711A" w:rsidRPr="0033711A" w:rsidRDefault="0033711A" w:rsidP="0033711A">
      <w:pPr>
        <w:shd w:val="clear" w:color="auto" w:fill="FFFFFF"/>
        <w:spacing w:before="203" w:after="203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собственного резервного фонда – ”подушки безопасности“ (на случай непредвиденных расходов, связанных с изменившимися обстоятельствами). Это одно из самых важных правил финансовой грамотности. Те или иные проблемы возникают у каждого человека, и нужно быть готовым к их решению без существенного ущерба качеству жизни.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Институтом социологии Национальной академии наук Беларуси в январе-феврале 2016 г. был проведен опрос граждан Беларуси по теме ”Оценка и анализ финансовой грамотности населения Республики Беларусь“ среди взрослого населения по национальной репрезентативной выборке объемом 1500 человек.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Портрет белорусского пользователя финансовых услуг выглядит следующим образом: относительно плохо ориентируется в финансовых продуктах; пользуется только несколькими основными услугами, предоставляемыми финансовым сектором (оплата коммунальных платежей, обмен валют, платежи через платежные терминалы, кредиты и текущий банковский счет); довольно слабо информирован о механизмах защиты своих прав в финансовой сфере.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Исследование показало, что респонденты выше оценивали свой уровень владения финансовыми вопросами по сравнению с тем, насколько они на самом деле были способны ориентироваться в финансовых вопросах (около 70% опрошенных охарактеризовали свой уровень финансовой грамотности как ”удовлетворительный“, ”хороший“ либо ”отличный“, в то время как в реальности таких оказалось намного меньше: около 60% согласно тесту по финансовой математике и примерно 36% по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тесту на финансовую осведомленность). На большинство тестовых вопросов в области финансов более половины респондентов дали неверные ответы либо затруднились ответить.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: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Самооценка финансовых знаний и навыков жителей Могилевской области выглядит следующим образом: 65,2% респондентов оценили свой уровень финансовой грамотности как ”удовлетворительный“(48,6%), ”хороший“ (14,3%) и ”отличный“(2,3%); 27,5% - как ”неудовлетворительный“ либо ”отсутствие знаний и умений“(2,9%)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Результаты же теста по финансовой математике в регионе свидетельствуют, что 58,8% опрошенных имеют низкий уровень знаний и умений (45,7%) либо совсем не осведомлены (13,1%) в вопросах финансовой грамотности. Оценка уровня финансовой осведомленности жителей области оказалась низкой: 71,5% опрошенных продемонстрировали неудовлетворительный уровень (48,6%) либо отсутствие знаний (22,9%).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Следует отметить, что за последние три года наметилась тенденция к росту уровня финансовой грамотности населения (предыдущий опрос проводился в 2013 г.).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 Республике Беларусь Постановлением Совета Министров и Национального банка Республики Беларусь от 17.01.2013 № 31/1 утвержден План совместных действий государственных органов и участников финансового рынка по повышению финансовой грамотности населения Республики Беларусь на 2013-2018 годы.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Главным управлением Национального банка Республики Беларусь по Могилевской области и Могилевским областным исполнительным комитетом ежегодно разрабатываются и реализуются мероприятия по повышению финансовой грамотности населения Могилевской области по следующим направлениям: повышение финансовой грамотности школьников и молодежи; мероприятия, реализуемые в средствах 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массовой информации; проекты финансового просвещения социально незащищенных целевых групп; обучение финансовой грамоте в сфере банковских услуг, по месту работы.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Справочно</w:t>
      </w:r>
      <w:proofErr w:type="spellEnd"/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: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Могилевская область ежегодно принимает участие в республиканской олимпиаде по финансовой грамотности. За три года реализации данного проекта в первом (районном, городском) этапе приняло участие 1938 учащихся Х-Х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I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классов учреждений общего среднего образования области, 237 победителей которого участвовали во втором (областном) этапе олимпиады, 9 – в республиканском (заключительном) этапе в Национальном банке Республики Беларусь.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Структурными подразделениями банков и сотрудниками Главного управления в ходе реализации Плана проведено более 3 тысяч уроков финансовой грамотности в учреждениях среднего, профессионально-технического и среднего специального, высшего и дополнительного образования, интернатах, в детских клубах развития и детских оздоровительных лагерях.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В течение четырех лет Могилевская область поддерживает ежегодную традицию празднования мировой общественностью в марте Международного дня финансов детей и молодежи и Недели финансовой грамотности (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Global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Money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Week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): проводятся занятия, семинары, интеллектуальные игры, аукционы, экскурсии, конкурсы детских рисунков, заседания клуба ”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Ф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i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нансавы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 </w:t>
      </w:r>
      <w:proofErr w:type="spell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грамацей</w:t>
      </w:r>
      <w:proofErr w:type="spell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“.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С целью привлечения внимания различных групп населения к теме финансовой грамотности объявляются различные творческие конкурсы: детский фотоконкурс ”Вырасту, стану банкиром!“, конкурс для студентов высших учебных заведений области ”Я дружу с финансами“, конкурс семейных работ ”Финансовая грамотность моей семьи”.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Главным управлением совместно со структурными подразделениями банков проведено 75 выездных обучающих занятий в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трудовых коллективах предприятий (организаций) Могилевской области в рамках работы учебного мобильного кабинета.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Финансовое просвещение жителей Могилевской области осуществляется в тесном сотрудничестве с региональными и республиканскими средствами массовой информации: публикуются статьи в газетах ”Могилевские ведомости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“, 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 xml:space="preserve">”Могилевская правда“, размещаются информационные сообщения на официальных сайтах </w:t>
      </w: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lastRenderedPageBreak/>
        <w:t>Могилевского облисполкома, го</w:t>
      </w:r>
      <w:proofErr w:type="gramStart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р(</w:t>
      </w:r>
      <w:proofErr w:type="gramEnd"/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рай)исполкомов, организаций области, на сайте </w:t>
      </w:r>
      <w:hyperlink r:id="rId6" w:tgtFrame="_blank" w:history="1">
        <w:r w:rsidRPr="0033711A">
          <w:rPr>
            <w:rFonts w:ascii="Times New Roman" w:eastAsia="Times New Roman" w:hAnsi="Times New Roman" w:cs="Times New Roman"/>
            <w:i/>
            <w:iCs/>
            <w:color w:val="000000"/>
            <w:sz w:val="30"/>
            <w:u w:val="single"/>
            <w:lang w:eastAsia="ru-RU"/>
          </w:rPr>
          <w:t>www.fingramota.by</w:t>
        </w:r>
      </w:hyperlink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lang w:eastAsia="ru-RU"/>
        </w:rPr>
        <w:t>, принимается участие в телевизионных проектах, радиоэфирах РУП РТЦ ”Телерадиокомпания ”Могилев“, проведена пресс-конференция для журналистов региональных СМИ.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Планируется активизировать деятельность по повышению финансовой грамотности приоритетных целевых групп, требующих особого внимания и подхода (молодежь, пенсионеры, лица с низким уровнем образования, жители сельских регионов): создание ярких масштабных мероприятий, вызывающих огромный интерес в обществе; проектов, продиктованных тенденциями, складывающимися на финансовом рынке, и востребованных у потребителей, в тесном взаимодействии с региональными СМИ (публикации на актуальные темы, дискуссионный телевизионный проект, радиовикторина), страховыми организациями и налоговыми органами (игры, конкурсы, викторины).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Беларуси с 2014 года функционирует Единый интернет-портал финансовой грамотности населения www.fingramota.by. На сайте можно найти информацию в сфере финансовых услуг: узнать, как выбрать кредит, научиться управлять личными финансами, изучить виды страхования и многое другое. Сайт будет интересен взрослым и детям. Здесь есть и социальные ролики, и образовательные мультфильмы. Кроме того, на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интернет-портале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размещены книги, статьи, брошюры, видеоматериалы, результаты исследований уровня финансовой грамотности населения и степени доступа к финансам в Беларуси.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Несколько рекомендаций для потребителей финансовых услуг.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u w:val="single"/>
          <w:lang w:eastAsia="ru-RU"/>
        </w:rPr>
        <w:t>1. Рекомендации по безопасному использованию банковских платежных карт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Обеспечивайте условия хранения карточки, которые исключают всякую возможность ее утери, порчи, копирования данных, несанкционированного и незаконного использования. Не допускайте механических повреждений карточки, ее деформации, загрязнения, воздействия высоких и низких температур, электромагнитных полей других неблагоприятных факторов, которые могут привести к утрате карточкой работоспособности.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Используйте разные карточки для осуществления ежедневных платежей, платежей в сети Интернет, а также в зарубежных поездках: для каждого типа платежей стоит оформить отдельный счет и карточку.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Помните, что не стоит хранить большие суммы денег на карточках, которыми вы пользуетесь нерегулярно.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Право пользования карточкой имеет только держатель. Карточку нельзя передавать другим лицам. Храните втайне от других лиц конфиденциальные данные карточки: номер и срок действия карточки, указанный на оборотной стороне трехзначный код проверки подлинности карточки, ПИН-код, который желательно запомнить.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если это является затруднительным, ПИН-код необходимо хранить отдельно от карточки в неявном виде (например, переписав его на листок бумаги среди прочих групп цифр или любой другой информации) или изменить его на более удобный (при наличии такой услуги у банка, выдавшего карточку).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Никогда не сообщайте ПИН-код другим лицам, включая родственников, знакомых, работников банков, организаций торговли (сервиса), представителей правоохранительных органов. Не передавайте ПИН-код ни по телефону, ни по электронной почте. Только держатель карточки должен знать свой ПИН-код.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Целесообразно пользоваться услугой SMS-информирования (оповещения). Данная услуга посредством SMS-сообщений обеспечивает оперативное уведомление о совершенных по карточке операциях, изменении остатка по счету. Использование услуги SMS-информирования позволит не только незамедлительно узнать о несанкционированной вами операции, но и предпринять необходимые меры для своевременной блокировки карточки.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оставляйте запрошенный вами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карт-чек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банкомате или другом устройстве самообслуживания, так как в чеке могут быть указаны сумма операции, остаток денежных средств. Это может привлечь грабителя или мошенника.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оплаты товаров в сети Интернет лучше использовать отдельную карточку (к отдельному счету и с ограниченной суммой денежных средств на нем), предназначенную только для данной цели. Совершайте покупки только в тех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интернет-магазинах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вызывают у вас доверие.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отвечайте на электронные письма, в которых от имени банка или иных организаций, а также граждан вас просят предоставить персональную информацию, в том числе реквизиты вашей карточки, в целях их обновления или для регистрации.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Никогда не сообщайте свой ПИН-код при заказе товаров по телефону или почте и не вводите его в форму заказа на сайте торговой точки. При совершении удаленных операций ввод ПИН-кода никогда не требуется.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стоит позволять браузерам сохранять данные карточки для упрощения совершения покупок в будущем.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использовании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интернет-банкинга</w:t>
      </w:r>
      <w:r w:rsidRPr="003371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обращайте внимание на наличие на странице сервиса защищенного протокола HTTPS. Перед входом в систему рекомендуется удостовериться в подлинности сертификата и сайта. Как правило, для этого необходимо кликнуть в поле адресной строки Интернет (как правило, это поле с пиктограммой замка или листа бумаги) и сверить имеющуюся в блоке информацию. В случае несоответствия присутствующих данных с реальными сведениями о банке стоит немедленно покинуть страницу.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наличии на странице интернет-банкинга функции ввода данных с помощью виртуальной клавиатуры, стоит использовать эту возможность для защиты от программ "клавиатурных шпионов".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забывайте периодически менять свой пароль. Старайтесь сделать его максимально сложным и уникальным. Не используйте один и тот же пароль в разных системах (электронная почта, системы интернет-банкинга других банков, социальные сети и т. п.). Постарайтесь избегать в пароле даты своего рождения, имени и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других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доступных о вас данных. Ни при каких обстоятельствах не разглашайте свой пароль никому, включая сотрудников банка.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окончании сеанса работы с системой интернет-банкинга обязательно корректно выходите из системы, используя соответствующую опцию.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u w:val="single"/>
          <w:lang w:eastAsia="ru-RU"/>
        </w:rPr>
        <w:t>2. Рекомендации при выборе кредита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принятии решения о получении кредита в банке необходимо предварительно тщательно изучить условия предоставления кредитов и оценить свои возможности по погашению основного долга по кредиту и уплате причитающихся платежей, обращая особое внимание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размер процентов за пользование кредитом;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исполнения обязательств;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возможность и порядок досрочного погашения кредита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необходимость заключения дополнительных договоров, связанных с получением кредита (например, договора страхования).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Потенциальным кредитополучателям следует учитывать то обстоятельство, что чем лучше обеспечен кредит (наличие поручителей, залога и др.), тем выгоднее условия кредитования, то есть ниже размер процентов за пользование кредитом.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Принятию оптимального решения при выборе кредитного продукта может способствовать изучение предложений нескольких банков, предоставляющих кредиты физическим лицам.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i/>
          <w:iCs/>
          <w:color w:val="000000"/>
          <w:sz w:val="30"/>
          <w:u w:val="single"/>
          <w:lang w:eastAsia="ru-RU"/>
        </w:rPr>
        <w:t>3. Рекомендации при выборе банковского вклада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статье 185 Банковского кодекса Республики Беларусь вкладчики свободны в выборе банка для размещения во вклады (депозиты) принадлежащих им денежных средств и могут иметь вклады (депозиты) в одном либо нескольких банках.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Банками страны предлагается достаточно широкий выбор видов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вкладов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в белорусских рублях, так и в иностранной валюте, с различными сроками и условиями хранения.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Выбрав ту или иную форму хранения своих сбережений, каждый вкладчик несет определенные риски в части получения максимального уровня доходности от размещения своих денежных средств.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выборе того или иного вида банковского вклада для размещения денежных средств потребителю нужно рассматривать условия предлагаемых вкладов с учетом своих ожиданий от хранения денежных сре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дств в т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ом или ином виде вклада и обращать внимание не только на размер процентов по нему, но и на другие условия. Например, если для потенциального вкладчика приоритетом является возможность досрочного снятия вклада при минимальной потере доходности, то следует обращать внимание на наличие такого условия в договоре банковского вклада и на минимальное время хранения денежных средств во вкладе, обеспечивающее сохранение доходности. Если наиболее предпочтительным условием является максимальная доходность и денежные средства в ближайшее время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вкладчику</w:t>
      </w:r>
      <w:proofErr w:type="gramEnd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скорее всего не понадобятся, в таком случае ориентиром может выступать размер процентов по вкладу и способ их начисления (такое условие как </w:t>
      </w:r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капитализация процентов обеспечивает большую доходность вклада). Следует отметить, что многими банками предлагаются виды срочных вкладов, предусматривающих возможность получения дополнительного дохода в виде различных бонусов, премий, выигрышей в зависимости от фактического срока хранения вклада и соблюдения условий договора банковского вклада. </w:t>
      </w:r>
      <w:proofErr w:type="gramStart"/>
      <w:r w:rsidRPr="003371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 действующей в Республике Беларусь системой гарантирования сохранности денежных средств физических лиц, государство гарантирует полную сохранность денежных средств физических лиц в белорусских рублях и иностранной валюте, размещенных в банках Республики Беларусь.</w:t>
      </w:r>
      <w:proofErr w:type="gramEnd"/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Главное управление Национального банка</w:t>
      </w:r>
    </w:p>
    <w:p w:rsidR="0033711A" w:rsidRPr="0033711A" w:rsidRDefault="0033711A" w:rsidP="0033711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3711A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Республики Беларусь по Могилевской области</w:t>
      </w:r>
    </w:p>
    <w:p w:rsidR="0075521D" w:rsidRPr="0033711A" w:rsidRDefault="0075521D">
      <w:pPr>
        <w:rPr>
          <w:rFonts w:ascii="Times New Roman" w:hAnsi="Times New Roman" w:cs="Times New Roman"/>
          <w:sz w:val="24"/>
          <w:szCs w:val="24"/>
        </w:rPr>
      </w:pPr>
    </w:p>
    <w:sectPr w:rsidR="0075521D" w:rsidRPr="0033711A" w:rsidSect="0075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1A"/>
    <w:rsid w:val="0033711A"/>
    <w:rsid w:val="003E4FB3"/>
    <w:rsid w:val="0043038C"/>
    <w:rsid w:val="00540893"/>
    <w:rsid w:val="0075521D"/>
    <w:rsid w:val="00B42E12"/>
    <w:rsid w:val="00D3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711A"/>
  </w:style>
  <w:style w:type="paragraph" w:customStyle="1" w:styleId="p2">
    <w:name w:val="p2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3711A"/>
  </w:style>
  <w:style w:type="paragraph" w:customStyle="1" w:styleId="p7">
    <w:name w:val="p7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3711A"/>
  </w:style>
  <w:style w:type="character" w:customStyle="1" w:styleId="apple-converted-space">
    <w:name w:val="apple-converted-space"/>
    <w:basedOn w:val="a0"/>
    <w:rsid w:val="0033711A"/>
  </w:style>
  <w:style w:type="paragraph" w:customStyle="1" w:styleId="p11">
    <w:name w:val="p11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3711A"/>
  </w:style>
  <w:style w:type="paragraph" w:customStyle="1" w:styleId="p12">
    <w:name w:val="p12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3711A"/>
  </w:style>
  <w:style w:type="paragraph" w:customStyle="1" w:styleId="p15">
    <w:name w:val="p15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3711A"/>
  </w:style>
  <w:style w:type="paragraph" w:customStyle="1" w:styleId="p22">
    <w:name w:val="p22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3711A"/>
  </w:style>
  <w:style w:type="paragraph" w:customStyle="1" w:styleId="p26">
    <w:name w:val="p26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3711A"/>
  </w:style>
  <w:style w:type="paragraph" w:customStyle="1" w:styleId="p35">
    <w:name w:val="p35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3711A"/>
  </w:style>
  <w:style w:type="paragraph" w:customStyle="1" w:styleId="p36">
    <w:name w:val="p36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71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711A"/>
    <w:rPr>
      <w:color w:val="800080"/>
      <w:u w:val="single"/>
    </w:rPr>
  </w:style>
  <w:style w:type="paragraph" w:customStyle="1" w:styleId="p47">
    <w:name w:val="p47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33711A"/>
  </w:style>
  <w:style w:type="paragraph" w:customStyle="1" w:styleId="p49">
    <w:name w:val="p49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3711A"/>
  </w:style>
  <w:style w:type="paragraph" w:customStyle="1" w:styleId="p50">
    <w:name w:val="p50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33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33711A"/>
  </w:style>
  <w:style w:type="character" w:customStyle="1" w:styleId="s13">
    <w:name w:val="s13"/>
    <w:basedOn w:val="a0"/>
    <w:rsid w:val="00337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YlRNdlpHUE0zRmdZRUlUMmxiNjBMWVJWZmR3VE5uRXl0aTlzWnhmX09QR3B4eENpem1XYVpWSFl0XzVucEFEejJKR3Bua19ZU0ZNVFZfT0w1NlV6OUk&amp;b64e=2&amp;sign=0f488be7ce749e4c5863893f08cfb570&amp;keyno=17" TargetMode="External"/><Relationship Id="rId5" Type="http://schemas.openxmlformats.org/officeDocument/2006/relationships/hyperlink" Target="https://clck.yandex.ru/redir/nWO_r1F33ck?data=NnBZTWRhdFZKOHQxUjhzSWFYVGhXWGNvRUgxYVpackVVbWRwZjdyZEY0Z2Y1STFRTmE0dDFRUUhFZXp0SzRrREg5b2ZxZVpTUjNvY1ZaeHkzeDV3VkREdjJrNVhFMnZrRHh3RmdMMEhDZG8&amp;b64e=2&amp;sign=8d628276f385a00314a71741f73ffdef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8420</Words>
  <Characters>47996</Characters>
  <Application>Microsoft Office Word</Application>
  <DocSecurity>0</DocSecurity>
  <Lines>399</Lines>
  <Paragraphs>112</Paragraphs>
  <ScaleCrop>false</ScaleCrop>
  <Company/>
  <LinksUpToDate>false</LinksUpToDate>
  <CharactersWithSpaces>56304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Asus</cp:lastModifiedBy>
  <cp:revision>6</cp:revision>
  <dcterms:created xsi:type="dcterms:W3CDTF">2017-06-12T07:47:00Z</dcterms:created>
  <dcterms:modified xsi:type="dcterms:W3CDTF">2017-06-18T14:48:00Z</dcterms:modified>
</cp:coreProperties>
</file>